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cs="Times New Roman"/>
        </w:rPr>
      </w:pPr>
    </w:p>
    <w:p>
      <w:pPr>
        <w:spacing w:line="600" w:lineRule="exact"/>
        <w:rPr>
          <w:rFonts w:ascii="Times New Roman" w:hAnsi="Times New Roman" w:cs="Times New Roman"/>
        </w:rPr>
      </w:pPr>
    </w:p>
    <w:p>
      <w:pPr>
        <w:spacing w:line="600" w:lineRule="exact"/>
        <w:rPr>
          <w:rFonts w:ascii="Times New Roman" w:hAnsi="Times New Roman" w:cs="Times New Roman"/>
        </w:rPr>
      </w:pPr>
    </w:p>
    <w:p>
      <w:pPr>
        <w:spacing w:line="600" w:lineRule="exact"/>
        <w:rPr>
          <w:rFonts w:ascii="Times New Roman" w:hAnsi="Times New Roman" w:cs="Times New Roman"/>
        </w:rPr>
      </w:pPr>
    </w:p>
    <w:p>
      <w:pPr>
        <w:spacing w:line="600" w:lineRule="exact"/>
        <w:rPr>
          <w:rFonts w:ascii="Times New Roman" w:hAnsi="Times New Roman" w:cs="Times New Roman"/>
        </w:rPr>
      </w:pPr>
    </w:p>
    <w:p>
      <w:pPr>
        <w:spacing w:line="600" w:lineRule="exact"/>
        <w:jc w:val="center"/>
        <w:rPr>
          <w:rFonts w:ascii="Times New Roman" w:hAnsi="Times New Roman" w:eastAsia="方正仿宋_GBK" w:cs="Times New Roman"/>
          <w:sz w:val="32"/>
          <w:szCs w:val="32"/>
        </w:rPr>
      </w:pPr>
    </w:p>
    <w:p>
      <w:pPr>
        <w:spacing w:line="60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曲富环发〔2024〕15号</w:t>
      </w:r>
    </w:p>
    <w:p>
      <w:pPr>
        <w:spacing w:line="600" w:lineRule="exact"/>
        <w:ind w:firstLine="880"/>
        <w:jc w:val="center"/>
        <w:rPr>
          <w:rFonts w:ascii="Times New Roman" w:hAnsi="Times New Roman" w:eastAsia="方正小标宋_GBK" w:cs="Times New Roman"/>
          <w:sz w:val="44"/>
          <w:szCs w:val="44"/>
        </w:rPr>
      </w:pP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曲靖市生态环境局富源分局关于核准“富源</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锦鸿金属制品有限公司年产30万吨</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再生铝项目”污染物排放总量指标</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来源的意见</w:t>
      </w:r>
    </w:p>
    <w:p>
      <w:pPr>
        <w:spacing w:line="600" w:lineRule="exact"/>
        <w:ind w:firstLine="420"/>
        <w:rPr>
          <w:rFonts w:ascii="Times New Roman" w:hAnsi="Times New Roman" w:cs="Times New Roman"/>
        </w:rPr>
      </w:pPr>
    </w:p>
    <w:p>
      <w:pPr>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富源锦鸿金属制品有限公司：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你公司报送的《富源锦鸿金属制品有限公司年产30万吨再生铝项目污染物排放总量指标的申请》收悉，经研究，提出如下意见：</w:t>
      </w:r>
    </w:p>
    <w:p>
      <w:pPr>
        <w:pStyle w:val="12"/>
        <w:numPr>
          <w:ilvl w:val="0"/>
          <w:numId w:val="1"/>
        </w:numPr>
        <w:spacing w:line="600" w:lineRule="exact"/>
        <w:ind w:firstLineChars="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项目基本情况</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富源锦鸿金属制品有限公司年产30万吨再生铝项目于2022年1月7日取得富源县发展和改革局备案（项目代码：2019-530325-42-03-049043）。根据富源锦鸿金属制品有限公司委托云南湖柏环保科技有限公司编制完成的《富源锦鸿金属制品有限公司年产30万吨再生铝建设项目环境影响报告书》，项目有组织废气主要污染物排放量为：颗粒物22.614t/a，二氧化硫3.564t/a，氮氧化物</w:t>
      </w:r>
      <w:r>
        <w:rPr>
          <w:rFonts w:hint="eastAsia" w:ascii="Times New Roman" w:hAnsi="Times New Roman" w:eastAsia="方正仿宋_GBK" w:cs="Times New Roman"/>
          <w:sz w:val="32"/>
          <w:szCs w:val="32"/>
          <w:highlight w:val="yellow"/>
        </w:rPr>
        <w:t>53.46</w:t>
      </w:r>
      <w:r>
        <w:rPr>
          <w:rFonts w:ascii="Times New Roman" w:hAnsi="Times New Roman" w:eastAsia="方正仿宋_GBK" w:cs="Times New Roman"/>
          <w:sz w:val="32"/>
          <w:szCs w:val="32"/>
          <w:highlight w:val="yellow"/>
        </w:rPr>
        <w:t>t/a，</w:t>
      </w:r>
      <w:r>
        <w:rPr>
          <w:rFonts w:ascii="Times New Roman" w:hAnsi="Times New Roman" w:eastAsia="方正仿宋_GBK" w:cs="Times New Roman"/>
          <w:sz w:val="32"/>
          <w:szCs w:val="32"/>
        </w:rPr>
        <w:t>氯化氢</w:t>
      </w:r>
      <w:r>
        <w:rPr>
          <w:rFonts w:ascii="Times New Roman" w:hAnsi="Times New Roman" w:eastAsia="仿宋" w:cs="Times New Roman"/>
          <w:sz w:val="32"/>
          <w:szCs w:val="32"/>
        </w:rPr>
        <w:t>10.905</w:t>
      </w:r>
      <w:r>
        <w:rPr>
          <w:rFonts w:ascii="Times New Roman" w:hAnsi="Times New Roman" w:eastAsia="方正仿宋_GBK" w:cs="Times New Roman"/>
          <w:sz w:val="32"/>
          <w:szCs w:val="32"/>
        </w:rPr>
        <w:t>t/a，氟化物</w:t>
      </w:r>
      <w:r>
        <w:rPr>
          <w:rFonts w:ascii="Times New Roman" w:hAnsi="Times New Roman" w:eastAsia="仿宋" w:cs="Times New Roman"/>
          <w:sz w:val="32"/>
          <w:szCs w:val="32"/>
        </w:rPr>
        <w:t>2.874</w:t>
      </w:r>
      <w:r>
        <w:rPr>
          <w:rFonts w:ascii="Times New Roman" w:hAnsi="Times New Roman" w:eastAsia="方正仿宋_GBK" w:cs="Times New Roman"/>
          <w:sz w:val="32"/>
          <w:szCs w:val="32"/>
        </w:rPr>
        <w:t>t/a、铅</w:t>
      </w:r>
      <w:r>
        <w:rPr>
          <w:rFonts w:ascii="Times New Roman" w:hAnsi="Times New Roman" w:eastAsia="仿宋" w:cs="Times New Roman"/>
          <w:sz w:val="32"/>
          <w:szCs w:val="32"/>
        </w:rPr>
        <w:t>0.0312</w:t>
      </w:r>
      <w:r>
        <w:rPr>
          <w:rFonts w:ascii="Times New Roman" w:hAnsi="Times New Roman" w:eastAsia="方正仿宋_GBK" w:cs="Times New Roman"/>
          <w:sz w:val="32"/>
          <w:szCs w:val="32"/>
        </w:rPr>
        <w:t>t/a，铬</w:t>
      </w:r>
      <w:r>
        <w:rPr>
          <w:rFonts w:ascii="Times New Roman" w:hAnsi="Times New Roman" w:eastAsia="仿宋" w:cs="Times New Roman"/>
          <w:sz w:val="32"/>
          <w:szCs w:val="32"/>
        </w:rPr>
        <w:t>0.000642</w:t>
      </w:r>
      <w:r>
        <w:rPr>
          <w:rFonts w:ascii="Times New Roman" w:hAnsi="Times New Roman" w:eastAsia="方正仿宋_GBK" w:cs="Times New Roman"/>
          <w:sz w:val="32"/>
          <w:szCs w:val="32"/>
        </w:rPr>
        <w:t>t/a，砷</w:t>
      </w:r>
      <w:r>
        <w:rPr>
          <w:rFonts w:ascii="Times New Roman" w:hAnsi="Times New Roman" w:eastAsia="仿宋" w:cs="Times New Roman"/>
          <w:sz w:val="32"/>
          <w:szCs w:val="32"/>
        </w:rPr>
        <w:t>0.000429</w:t>
      </w:r>
      <w:r>
        <w:rPr>
          <w:rFonts w:ascii="Times New Roman" w:hAnsi="Times New Roman" w:eastAsia="方正仿宋_GBK" w:cs="Times New Roman"/>
          <w:sz w:val="32"/>
          <w:szCs w:val="32"/>
        </w:rPr>
        <w:t>t/a，镉</w:t>
      </w:r>
      <w:r>
        <w:rPr>
          <w:rFonts w:ascii="Times New Roman" w:hAnsi="Times New Roman" w:eastAsia="仿宋" w:cs="Times New Roman"/>
          <w:sz w:val="32"/>
          <w:szCs w:val="32"/>
        </w:rPr>
        <w:t>0.000837</w:t>
      </w:r>
      <w:r>
        <w:rPr>
          <w:rFonts w:ascii="Times New Roman" w:hAnsi="Times New Roman" w:eastAsia="方正仿宋_GBK" w:cs="Times New Roman"/>
          <w:sz w:val="32"/>
          <w:szCs w:val="32"/>
        </w:rPr>
        <w:t>t/a，锡</w:t>
      </w:r>
      <w:r>
        <w:rPr>
          <w:rFonts w:ascii="Times New Roman" w:hAnsi="Times New Roman" w:eastAsia="仿宋" w:cs="Times New Roman"/>
          <w:sz w:val="32"/>
          <w:szCs w:val="32"/>
        </w:rPr>
        <w:t>0.000471</w:t>
      </w:r>
      <w:r>
        <w:rPr>
          <w:rFonts w:ascii="Times New Roman" w:hAnsi="Times New Roman" w:eastAsia="方正仿宋_GBK" w:cs="Times New Roman"/>
          <w:sz w:val="32"/>
          <w:szCs w:val="32"/>
        </w:rPr>
        <w:t>t/a，二噁英4.92×10</w:t>
      </w:r>
      <w:r>
        <w:rPr>
          <w:rFonts w:ascii="Times New Roman" w:hAnsi="Times New Roman" w:eastAsia="方正仿宋_GBK" w:cs="Times New Roman"/>
          <w:sz w:val="32"/>
          <w:szCs w:val="32"/>
          <w:vertAlign w:val="superscript"/>
        </w:rPr>
        <w:t>-5</w:t>
      </w:r>
      <w:r>
        <w:rPr>
          <w:rFonts w:ascii="Times New Roman" w:hAnsi="Times New Roman" w:eastAsia="方正仿宋_GBK" w:cs="Times New Roman"/>
          <w:sz w:val="32"/>
          <w:szCs w:val="32"/>
        </w:rPr>
        <w:t>kgTEQ/a。</w:t>
      </w:r>
    </w:p>
    <w:p>
      <w:pPr>
        <w:spacing w:line="60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二</w:t>
      </w:r>
      <w:r>
        <w:rPr>
          <w:rFonts w:hint="eastAsia" w:ascii="方正黑体_GBK" w:hAnsi="方正黑体_GBK" w:eastAsia="方正黑体_GBK" w:cs="方正黑体_GBK"/>
          <w:sz w:val="32"/>
          <w:szCs w:val="32"/>
        </w:rPr>
        <w:t>、项目主要污染物区域削减指标替代方案</w:t>
      </w:r>
    </w:p>
    <w:p>
      <w:pPr>
        <w:spacing w:line="600" w:lineRule="exact"/>
        <w:ind w:firstLine="480" w:firstLineChars="150"/>
        <w:rPr>
          <w:rFonts w:ascii="Times New Roman" w:hAnsi="Times New Roman" w:eastAsia="方正仿宋_GBK" w:cs="Times New Roman"/>
          <w:sz w:val="32"/>
          <w:szCs w:val="32"/>
        </w:rPr>
      </w:pPr>
      <w:r>
        <w:rPr>
          <w:rFonts w:ascii="Times New Roman" w:hAnsi="Times New Roman" w:eastAsia="方正仿宋_GBK" w:cs="Times New Roman"/>
          <w:sz w:val="32"/>
          <w:szCs w:val="32"/>
        </w:rPr>
        <w:t>该项目颗粒物区域削减总量指标来源于富源县营上镇正雄煤矸石砖厂、富源县营上镇河东煤矿红紫塘煤矸石砖厂；二氧化硫区域削减总量指标来源于富源县营上镇正雄煤矸石砖厂；氮氧化物区域削减总量指标来源于富源县营上镇正雄煤矸石砖厂、富源县营上镇河东煤矿红紫塘煤矸石砖厂及富源县后所镇宣富煤矸石砖厂。富源县营上镇正雄煤矸石砖厂、富源县营上镇河东煤矿红紫塘煤矸石砖厂颗粒物区域削减总量为39 t/a；富源县营上镇正雄煤矸石砖厂二氧化硫区域削减总量为367.2 t/a；富源县营上镇正雄煤矸石砖厂、富源县营上镇河东煤矿红紫塘煤矸石砖厂及富源县后所镇宣富煤矸石砖厂氮氧化物区域削减总量73.44t/a；以上削减总量指标均能满足项目区域削减替代方案。具体指标来源情况如下：</w:t>
      </w:r>
    </w:p>
    <w:p>
      <w:pPr>
        <w:spacing w:line="600" w:lineRule="exact"/>
        <w:ind w:firstLine="480" w:firstLineChars="15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1.</w:t>
      </w:r>
      <w:r>
        <w:rPr>
          <w:rFonts w:ascii="Times New Roman" w:hAnsi="Times New Roman" w:eastAsia="方正仿宋_GBK" w:cs="Times New Roman"/>
          <w:sz w:val="32"/>
          <w:szCs w:val="32"/>
        </w:rPr>
        <w:t>富源县营上镇正雄煤矸石砖厂：生产线为年产3000万块煤矸石烧结砖的轮窑，</w:t>
      </w:r>
      <w:r>
        <w:rPr>
          <w:rFonts w:hint="eastAsia" w:ascii="Times New Roman" w:hAnsi="Times New Roman" w:eastAsia="方正仿宋_GBK" w:cs="Times New Roman"/>
          <w:sz w:val="32"/>
          <w:szCs w:val="32"/>
        </w:rPr>
        <w:t>2006年9月19日富源县环境保护局以富环许准[2006]179号批复项目环评，环评核算及环评批复核定二氧化硫排放总量25.2</w:t>
      </w:r>
      <w:r>
        <w:rPr>
          <w:rFonts w:ascii="Times New Roman" w:hAnsi="Times New Roman" w:eastAsia="方正仿宋_GBK" w:cs="Times New Roman"/>
          <w:sz w:val="32"/>
          <w:szCs w:val="32"/>
        </w:rPr>
        <w:t>t/a</w:t>
      </w:r>
      <w:r>
        <w:rPr>
          <w:rFonts w:hint="eastAsia" w:ascii="Times New Roman" w:hAnsi="Times New Roman" w:eastAsia="方正仿宋_GBK" w:cs="Times New Roman"/>
          <w:sz w:val="32"/>
          <w:szCs w:val="32"/>
        </w:rPr>
        <w:t>，未核算核定颗粒物、氮氧化物排放总量；2019年4月10日曲靖市生态环境局富源分局核发的排污许可证（编号：53032520190410C0087Y）核定颗粒物排放总量为14.63</w:t>
      </w:r>
      <w:r>
        <w:rPr>
          <w:rFonts w:ascii="Times New Roman" w:hAnsi="Times New Roman" w:eastAsia="方正仿宋_GBK" w:cs="Times New Roman"/>
          <w:sz w:val="32"/>
          <w:szCs w:val="32"/>
        </w:rPr>
        <w:t>t/a</w:t>
      </w:r>
      <w:r>
        <w:rPr>
          <w:rFonts w:hint="eastAsia" w:ascii="Times New Roman" w:hAnsi="Times New Roman" w:eastAsia="方正仿宋_GBK" w:cs="Times New Roman"/>
          <w:sz w:val="32"/>
          <w:szCs w:val="32"/>
        </w:rPr>
        <w:t>、二氧化硫排放总量25.2</w:t>
      </w:r>
      <w:r>
        <w:rPr>
          <w:rFonts w:ascii="Times New Roman" w:hAnsi="Times New Roman" w:eastAsia="方正仿宋_GBK" w:cs="Times New Roman"/>
          <w:sz w:val="32"/>
          <w:szCs w:val="32"/>
        </w:rPr>
        <w:t>t/a</w:t>
      </w:r>
      <w:r>
        <w:rPr>
          <w:rFonts w:hint="eastAsia" w:ascii="Times New Roman" w:hAnsi="Times New Roman" w:eastAsia="方正仿宋_GBK" w:cs="Times New Roman"/>
          <w:sz w:val="32"/>
          <w:szCs w:val="32"/>
        </w:rPr>
        <w:t>、氮氧化物排放总量41.45</w:t>
      </w:r>
      <w:r>
        <w:rPr>
          <w:rFonts w:ascii="Times New Roman" w:hAnsi="Times New Roman" w:eastAsia="方正仿宋_GBK" w:cs="Times New Roman"/>
          <w:sz w:val="32"/>
          <w:szCs w:val="32"/>
        </w:rPr>
        <w:t>t/a</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2022年12月富源县营上镇正雄煤矸石砖厂轮窑生产线已拆除。根据《主要污染物总量减排核算技术指南》（2022年修订），由于项目未安装自动监控，采用产污系数法进行核算（《排放源统计调查产排污核算方法和系数手册》303砖瓦、石材等建筑材料制造行业系数手册），3000万块煤矸石砖厂二氧化硫削减量按系数核算为367.2t/a，颗粒物削减量按系数核算为19.5t/a，氮氧化物削减量按系数核算为24.48t/a。</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富源县营上镇河东煤矿红紫塘煤矸石砖厂：生产线为年产3000万块煤矸石烧结砖的轮窑，</w:t>
      </w:r>
      <w:r>
        <w:rPr>
          <w:rFonts w:hint="eastAsia" w:ascii="Times New Roman" w:hAnsi="Times New Roman" w:eastAsia="方正仿宋_GBK" w:cs="Times New Roman"/>
          <w:sz w:val="32"/>
          <w:szCs w:val="32"/>
        </w:rPr>
        <w:t>2007年3月12日富源县环境保护局以富环许准[2007]33号批复项目环评，环评核算及环评批复核定二氧化硫排放总量7.38</w:t>
      </w:r>
      <w:r>
        <w:rPr>
          <w:rFonts w:ascii="Times New Roman" w:hAnsi="Times New Roman" w:eastAsia="方正仿宋_GBK" w:cs="Times New Roman"/>
          <w:sz w:val="32"/>
          <w:szCs w:val="32"/>
        </w:rPr>
        <w:t>t/a</w:t>
      </w:r>
      <w:r>
        <w:rPr>
          <w:rFonts w:hint="eastAsia" w:ascii="Times New Roman" w:hAnsi="Times New Roman" w:eastAsia="方正仿宋_GBK" w:cs="Times New Roman"/>
          <w:sz w:val="32"/>
          <w:szCs w:val="32"/>
        </w:rPr>
        <w:t>，未核算核定颗粒物、氮氧化物排放总量；2019年1月21日曲靖市生态环境局富源分局核发的排污许可证（编号：53032520190121C0142Y）核定颗粒物排放总量为11.07</w:t>
      </w:r>
      <w:r>
        <w:rPr>
          <w:rFonts w:ascii="Times New Roman" w:hAnsi="Times New Roman" w:eastAsia="方正仿宋_GBK" w:cs="Times New Roman"/>
          <w:sz w:val="32"/>
          <w:szCs w:val="32"/>
        </w:rPr>
        <w:t>t/a</w:t>
      </w:r>
      <w:r>
        <w:rPr>
          <w:rFonts w:hint="eastAsia" w:ascii="Times New Roman" w:hAnsi="Times New Roman" w:eastAsia="方正仿宋_GBK" w:cs="Times New Roman"/>
          <w:sz w:val="32"/>
          <w:szCs w:val="32"/>
        </w:rPr>
        <w:t>、二氧化硫排放总量7.38</w:t>
      </w:r>
      <w:r>
        <w:rPr>
          <w:rFonts w:ascii="Times New Roman" w:hAnsi="Times New Roman" w:eastAsia="方正仿宋_GBK" w:cs="Times New Roman"/>
          <w:sz w:val="32"/>
          <w:szCs w:val="32"/>
        </w:rPr>
        <w:t>t/a</w:t>
      </w:r>
      <w:r>
        <w:rPr>
          <w:rFonts w:hint="eastAsia" w:ascii="Times New Roman" w:hAnsi="Times New Roman" w:eastAsia="方正仿宋_GBK" w:cs="Times New Roman"/>
          <w:sz w:val="32"/>
          <w:szCs w:val="32"/>
        </w:rPr>
        <w:t>、氮氧化物排放总量22.14</w:t>
      </w:r>
      <w:r>
        <w:rPr>
          <w:rFonts w:ascii="Times New Roman" w:hAnsi="Times New Roman" w:eastAsia="方正仿宋_GBK" w:cs="Times New Roman"/>
          <w:sz w:val="32"/>
          <w:szCs w:val="32"/>
        </w:rPr>
        <w:t>t/a</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2022年6月富源县营上镇河东煤矿红紫塘煤矸石砖厂轮窑生产线已拆除。根据《主要污染物总量减排核算技术指南》（2022年修订），由于项目未安装自动监控，采用产污系数法进行核算（《排放源统计调查产排污核算方法和系数手册》303砖瓦、石材等建筑材料制造行业系数手册），3000万块煤矸石砖厂二氧化硫削减量按系数核算为367.2t/a，颗粒物削减量按系数核算为19.5t/a，氮氧化物削减量按系数核算为24.48t/a。</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富源县后所镇宣富煤矸石砖厂：生产线为年产3000万块煤矸石烧结砖的轮窑，</w:t>
      </w:r>
      <w:r>
        <w:rPr>
          <w:rFonts w:hint="eastAsia" w:ascii="Times New Roman" w:hAnsi="Times New Roman" w:eastAsia="方正仿宋_GBK" w:cs="Times New Roman"/>
          <w:sz w:val="32"/>
          <w:szCs w:val="32"/>
        </w:rPr>
        <w:t>2008年12月19日富源县环境保护局以富环许准[2008]138号批复项目环评，环评核算及环评批复核定二氧化硫排放总量14.2</w:t>
      </w:r>
      <w:r>
        <w:rPr>
          <w:rFonts w:ascii="Times New Roman" w:hAnsi="Times New Roman" w:eastAsia="方正仿宋_GBK" w:cs="Times New Roman"/>
          <w:sz w:val="32"/>
          <w:szCs w:val="32"/>
        </w:rPr>
        <w:t>t/a</w:t>
      </w:r>
      <w:r>
        <w:rPr>
          <w:rFonts w:hint="eastAsia" w:ascii="Times New Roman" w:hAnsi="Times New Roman" w:eastAsia="方正仿宋_GBK" w:cs="Times New Roman"/>
          <w:sz w:val="32"/>
          <w:szCs w:val="32"/>
        </w:rPr>
        <w:t>，未核算核定颗粒物、氮氧化物排放总量；2019年3月17日曲靖市生态环境局富源分局核发的排污许可证（编号：53032520190317C7）核定颗粒物排放总量为12.94</w:t>
      </w:r>
      <w:r>
        <w:rPr>
          <w:rFonts w:ascii="Times New Roman" w:hAnsi="Times New Roman" w:eastAsia="方正仿宋_GBK" w:cs="Times New Roman"/>
          <w:sz w:val="32"/>
          <w:szCs w:val="32"/>
        </w:rPr>
        <w:t>t/a</w:t>
      </w:r>
      <w:r>
        <w:rPr>
          <w:rFonts w:hint="eastAsia" w:ascii="Times New Roman" w:hAnsi="Times New Roman" w:eastAsia="方正仿宋_GBK" w:cs="Times New Roman"/>
          <w:sz w:val="32"/>
          <w:szCs w:val="32"/>
        </w:rPr>
        <w:t>、二氧化硫排放总量14.2</w:t>
      </w:r>
      <w:r>
        <w:rPr>
          <w:rFonts w:ascii="Times New Roman" w:hAnsi="Times New Roman" w:eastAsia="方正仿宋_GBK" w:cs="Times New Roman"/>
          <w:sz w:val="32"/>
          <w:szCs w:val="32"/>
        </w:rPr>
        <w:t>t/a</w:t>
      </w:r>
      <w:r>
        <w:rPr>
          <w:rFonts w:hint="eastAsia" w:ascii="Times New Roman" w:hAnsi="Times New Roman" w:eastAsia="方正仿宋_GBK" w:cs="Times New Roman"/>
          <w:sz w:val="32"/>
          <w:szCs w:val="32"/>
        </w:rPr>
        <w:t>、氮氧化物排放总量31.06</w:t>
      </w:r>
      <w:r>
        <w:rPr>
          <w:rFonts w:ascii="Times New Roman" w:hAnsi="Times New Roman" w:eastAsia="方正仿宋_GBK" w:cs="Times New Roman"/>
          <w:sz w:val="32"/>
          <w:szCs w:val="32"/>
        </w:rPr>
        <w:t>t/a</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2022年12月富源县后所镇宣富煤矸石砖厂轮窑生产线已拆除。根据《主要污染物总量减排核算技术指南》（2022年修订），由于项目未安装自动监控，采用产污系数法进行核算（《排放源统计调查产排污核算方法和系数手册》303砖瓦、石材等建筑材料制造行业系数手册），3000万块煤矸石砖厂二氧化硫削减量按系数核算为367.2t/a，颗粒物削减量按系数核算为19.5t/a，氮氧化物削减量按系数核算为24.48t/a。</w:t>
      </w:r>
    </w:p>
    <w:p>
      <w:pPr>
        <w:spacing w:line="600" w:lineRule="exact"/>
        <w:ind w:firstLine="616" w:firstLineChars="200"/>
        <w:rPr>
          <w:rFonts w:ascii="方正黑体_GBK" w:hAnsi="方正黑体_GBK" w:eastAsia="方正黑体_GBK" w:cs="方正黑体_GBK"/>
          <w:spacing w:val="-6"/>
          <w:sz w:val="32"/>
          <w:szCs w:val="32"/>
        </w:rPr>
      </w:pPr>
      <w:r>
        <w:rPr>
          <w:rFonts w:hint="eastAsia" w:ascii="方正黑体_GBK" w:hAnsi="方正黑体_GBK" w:eastAsia="方正黑体_GBK" w:cs="方正黑体_GBK"/>
          <w:spacing w:val="-6"/>
          <w:sz w:val="32"/>
          <w:szCs w:val="32"/>
        </w:rPr>
        <w:t>三、其他指标（氯化氢、氟化物、重金属及二噁英）情况说明</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1.根据《关于进一步加强重金属污染防控的意见》</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环固体</w:t>
      </w:r>
      <w:r>
        <w:rPr>
          <w:rFonts w:hint="eastAsia" w:ascii="方正仿宋_GBK" w:hAnsi="方正仿宋_GBK" w:eastAsia="方正仿宋_GBK" w:cs="方正仿宋_GBK"/>
          <w:sz w:val="32"/>
          <w:szCs w:val="32"/>
        </w:rPr>
        <w:t>〔</w:t>
      </w:r>
      <w:r>
        <w:rPr>
          <w:rFonts w:ascii="Times New Roman" w:hAnsi="Times New Roman" w:eastAsia="方正仿宋_GBK" w:cs="Times New Roman"/>
          <w:sz w:val="32"/>
          <w:szCs w:val="32"/>
        </w:rPr>
        <w:t>2022</w:t>
      </w:r>
      <w:r>
        <w:rPr>
          <w:rFonts w:hint="eastAsia" w:ascii="方正仿宋_GBK" w:hAnsi="方正仿宋_GBK" w:eastAsia="方正仿宋_GBK" w:cs="方正仿宋_GBK"/>
          <w:sz w:val="32"/>
          <w:szCs w:val="32"/>
        </w:rPr>
        <w:t>〕</w:t>
      </w:r>
      <w:r>
        <w:rPr>
          <w:rFonts w:ascii="Times New Roman" w:hAnsi="Times New Roman" w:eastAsia="方正仿宋_GBK" w:cs="Times New Roman"/>
          <w:sz w:val="32"/>
          <w:szCs w:val="32"/>
        </w:rPr>
        <w:t>17号）文件精神，再生铝冶炼不属于重金属污染防治重点行业，且富源县不属于重金属防治重点区域，环评审批不受重金属污染排放总量减排的限制。</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按照国家现行污染物总量减排相关规定，氯化氢、氟化物及二噁英没有纳入总量控制指标，暂不涉及指标替代。</w:t>
      </w:r>
    </w:p>
    <w:p>
      <w:pPr>
        <w:spacing w:line="600" w:lineRule="exact"/>
      </w:pPr>
    </w:p>
    <w:p>
      <w:pPr>
        <w:spacing w:line="600" w:lineRule="exact"/>
      </w:pPr>
    </w:p>
    <w:p>
      <w:pPr>
        <w:spacing w:line="600" w:lineRule="exact"/>
      </w:pPr>
    </w:p>
    <w:p>
      <w:pPr>
        <w:spacing w:line="600" w:lineRule="exact"/>
        <w:ind w:firstLine="3840" w:firstLineChars="1200"/>
        <w:rPr>
          <w:rFonts w:ascii="Times New Roman" w:hAnsi="Times New Roman" w:eastAsia="方正仿宋_GBK" w:cs="Times New Roman"/>
          <w:sz w:val="32"/>
          <w:szCs w:val="32"/>
        </w:rPr>
      </w:pPr>
      <w:r>
        <w:rPr>
          <w:rFonts w:ascii="Times New Roman" w:hAnsi="Times New Roman" w:eastAsia="方正仿宋_GBK" w:cs="Times New Roman"/>
          <w:sz w:val="32"/>
          <w:szCs w:val="32"/>
        </w:rPr>
        <w:t>曲靖市生态环境局富源分局</w:t>
      </w:r>
    </w:p>
    <w:p>
      <w:pPr>
        <w:spacing w:line="600" w:lineRule="exact"/>
        <w:ind w:firstLine="4480" w:firstLineChars="1400"/>
        <w:rPr>
          <w:rFonts w:ascii="Times New Roman" w:hAnsi="Times New Roman" w:eastAsia="方正仿宋_GBK" w:cs="Times New Roman"/>
          <w:sz w:val="32"/>
          <w:szCs w:val="32"/>
        </w:rPr>
      </w:pPr>
      <w:r>
        <w:rPr>
          <w:rFonts w:ascii="Times New Roman" w:hAnsi="Times New Roman" w:eastAsia="方正仿宋_GBK" w:cs="Times New Roman"/>
          <w:sz w:val="32"/>
          <w:szCs w:val="32"/>
        </w:rPr>
        <w:t>2024年3月19日</w:t>
      </w:r>
    </w:p>
    <w:p>
      <w:pPr>
        <w:spacing w:line="600" w:lineRule="exact"/>
        <w:ind w:firstLine="3520" w:firstLineChars="1100"/>
        <w:rPr>
          <w:rFonts w:ascii="Times New Roman" w:hAnsi="Times New Roman" w:eastAsia="方正仿宋_GBK" w:cs="Times New Roman"/>
          <w:sz w:val="32"/>
          <w:szCs w:val="32"/>
        </w:rPr>
      </w:pPr>
    </w:p>
    <w:p>
      <w:pPr>
        <w:spacing w:line="600" w:lineRule="exact"/>
        <w:ind w:firstLine="3520" w:firstLineChars="1100"/>
        <w:rPr>
          <w:rFonts w:ascii="Times New Roman" w:hAnsi="Times New Roman" w:eastAsia="方正仿宋_GBK" w:cs="Times New Roman"/>
          <w:sz w:val="32"/>
          <w:szCs w:val="32"/>
        </w:rPr>
      </w:pPr>
    </w:p>
    <w:p>
      <w:pPr>
        <w:pStyle w:val="5"/>
        <w:spacing w:line="600" w:lineRule="exact"/>
        <w:ind w:firstLine="0"/>
        <w:rPr>
          <w:rFonts w:ascii="Times New Roman" w:hAnsi="Times New Roman" w:eastAsia="方正仿宋_GBK" w:cs="Times New Roman"/>
          <w:color w:val="auto"/>
          <w:kern w:val="0"/>
          <w:sz w:val="32"/>
          <w:szCs w:val="32"/>
        </w:rPr>
      </w:pPr>
    </w:p>
    <w:p>
      <w:pPr>
        <w:pStyle w:val="5"/>
        <w:spacing w:line="600" w:lineRule="exact"/>
        <w:ind w:firstLine="0"/>
        <w:rPr>
          <w:rFonts w:ascii="Times New Roman" w:hAnsi="Times New Roman" w:eastAsia="方正仿宋_GBK" w:cs="Times New Roman"/>
          <w:color w:val="auto"/>
          <w:kern w:val="0"/>
          <w:sz w:val="32"/>
          <w:szCs w:val="32"/>
        </w:rPr>
      </w:pPr>
    </w:p>
    <w:p>
      <w:pPr>
        <w:pStyle w:val="5"/>
        <w:spacing w:line="600" w:lineRule="exact"/>
        <w:ind w:firstLine="0"/>
        <w:rPr>
          <w:rFonts w:ascii="Times New Roman" w:hAnsi="Times New Roman" w:eastAsia="方正仿宋_GBK" w:cs="Times New Roman"/>
          <w:color w:val="auto"/>
          <w:kern w:val="0"/>
          <w:sz w:val="32"/>
          <w:szCs w:val="32"/>
        </w:rPr>
      </w:pPr>
    </w:p>
    <w:p>
      <w:pPr>
        <w:pStyle w:val="5"/>
        <w:spacing w:line="600" w:lineRule="exact"/>
        <w:ind w:firstLine="0"/>
        <w:rPr>
          <w:rFonts w:ascii="Times New Roman" w:hAnsi="Times New Roman" w:eastAsia="方正仿宋_GBK" w:cs="Times New Roman"/>
          <w:color w:val="auto"/>
          <w:kern w:val="0"/>
          <w:sz w:val="32"/>
          <w:szCs w:val="32"/>
        </w:rPr>
      </w:pPr>
    </w:p>
    <w:p>
      <w:pPr>
        <w:pStyle w:val="5"/>
        <w:spacing w:line="600" w:lineRule="exact"/>
        <w:ind w:firstLine="0"/>
        <w:rPr>
          <w:rFonts w:ascii="Times New Roman" w:hAnsi="Times New Roman" w:eastAsia="方正仿宋_GBK" w:cs="Times New Roman"/>
          <w:color w:val="auto"/>
          <w:kern w:val="0"/>
          <w:sz w:val="32"/>
          <w:szCs w:val="32"/>
        </w:rPr>
      </w:pPr>
    </w:p>
    <w:p>
      <w:pPr>
        <w:pStyle w:val="5"/>
        <w:spacing w:line="600" w:lineRule="exact"/>
        <w:ind w:firstLine="0"/>
        <w:rPr>
          <w:rFonts w:ascii="Times New Roman" w:hAnsi="Times New Roman" w:eastAsia="方正仿宋_GBK" w:cs="Times New Roman"/>
          <w:color w:val="auto"/>
          <w:kern w:val="0"/>
          <w:sz w:val="32"/>
          <w:szCs w:val="32"/>
        </w:rPr>
      </w:pPr>
    </w:p>
    <w:p>
      <w:pPr>
        <w:pStyle w:val="5"/>
        <w:spacing w:line="600" w:lineRule="exact"/>
        <w:ind w:firstLine="0"/>
        <w:rPr>
          <w:rFonts w:ascii="Times New Roman" w:hAnsi="Times New Roman" w:eastAsia="方正仿宋_GBK" w:cs="Times New Roman"/>
          <w:color w:val="auto"/>
          <w:sz w:val="32"/>
          <w:szCs w:val="32"/>
        </w:rPr>
      </w:pPr>
      <w:bookmarkStart w:id="0" w:name="_GoBack"/>
      <w:bookmarkEnd w:id="0"/>
    </w:p>
    <w:sectPr>
      <w:footerReference r:id="rId3" w:type="default"/>
      <w:pgSz w:w="11906" w:h="16838"/>
      <w:pgMar w:top="2098" w:right="1474"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18030">
    <w:altName w:val="Courier New"/>
    <w:panose1 w:val="00000000000000000000"/>
    <w:charset w:val="00"/>
    <w:family w:val="auto"/>
    <w:pitch w:val="default"/>
    <w:sig w:usb0="00000000" w:usb1="00000000" w:usb2="00000000" w:usb3="00000000" w:csb0="00000001"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AkSrbzIAQAAmQMAAA4AAAAAAAAAAQAgAAAAHgEAAGRycy9lMm9Eb2Mu&#10;eG1sUEsFBgAAAAAGAAYAWQEAAFgFAAAAAA==&#10;">
          <v:path/>
          <v:fill on="f" focussize="0,0"/>
          <v:stroke on="f" joinstyle="miter"/>
          <v:imagedata o:title=""/>
          <o:lock v:ext="edit"/>
          <v:textbox inset="0mm,0mm,0mm,0mm" style="mso-fit-shape-to-text:t;">
            <w:txbxContent>
              <w:p>
                <w:pPr>
                  <w:pStyle w:val="6"/>
                  <w:rPr>
                    <w:rFonts w:ascii="Times New Roman" w:hAnsi="Times New Roman" w:cs="Times New Roman"/>
                    <w:sz w:val="28"/>
                    <w:szCs w:val="28"/>
                  </w:rPr>
                </w:pPr>
                <w:r>
                  <w:rPr>
                    <w:rFonts w:ascii="Times New Roman" w:hAnsi="Times New Roman" w:cs="Times New Roman"/>
                    <w:sz w:val="28"/>
                    <w:szCs w:val="28"/>
                  </w:rPr>
                  <w:t xml:space="preserve">— </w:t>
                </w:r>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4</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r>
                  <w:rPr>
                    <w:rFonts w:ascii="Times New Roman" w:hAnsi="Times New Roman" w:cs="Times New Roman"/>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FB4C42"/>
    <w:multiLevelType w:val="multilevel"/>
    <w:tmpl w:val="0FFB4C42"/>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M5MjUzYWYxYjc0YmQzZDE1Mjk4OThkMzQ2NTQ1MTYifQ=="/>
  </w:docVars>
  <w:rsids>
    <w:rsidRoot w:val="006F7403"/>
    <w:rsid w:val="0000140B"/>
    <w:rsid w:val="00012828"/>
    <w:rsid w:val="00051444"/>
    <w:rsid w:val="00086791"/>
    <w:rsid w:val="000B609B"/>
    <w:rsid w:val="00152FC7"/>
    <w:rsid w:val="001543AB"/>
    <w:rsid w:val="001D41CD"/>
    <w:rsid w:val="001E4B13"/>
    <w:rsid w:val="00222A94"/>
    <w:rsid w:val="0023781A"/>
    <w:rsid w:val="002460F2"/>
    <w:rsid w:val="00266341"/>
    <w:rsid w:val="002674CD"/>
    <w:rsid w:val="00281500"/>
    <w:rsid w:val="00282CCD"/>
    <w:rsid w:val="00295E85"/>
    <w:rsid w:val="002B345C"/>
    <w:rsid w:val="002B5C74"/>
    <w:rsid w:val="002F26EC"/>
    <w:rsid w:val="00331006"/>
    <w:rsid w:val="003428EC"/>
    <w:rsid w:val="00353856"/>
    <w:rsid w:val="0036312B"/>
    <w:rsid w:val="003641D1"/>
    <w:rsid w:val="0038204A"/>
    <w:rsid w:val="00385E4B"/>
    <w:rsid w:val="003C7EA4"/>
    <w:rsid w:val="003D68C5"/>
    <w:rsid w:val="003E22F1"/>
    <w:rsid w:val="00411A98"/>
    <w:rsid w:val="004304D0"/>
    <w:rsid w:val="00443A67"/>
    <w:rsid w:val="004A5007"/>
    <w:rsid w:val="004C3021"/>
    <w:rsid w:val="004C52E4"/>
    <w:rsid w:val="004F4AE4"/>
    <w:rsid w:val="005449E8"/>
    <w:rsid w:val="005810DB"/>
    <w:rsid w:val="00587AB5"/>
    <w:rsid w:val="00591D4C"/>
    <w:rsid w:val="0066729A"/>
    <w:rsid w:val="00681F47"/>
    <w:rsid w:val="006B21D9"/>
    <w:rsid w:val="006C0696"/>
    <w:rsid w:val="006F7403"/>
    <w:rsid w:val="007541FE"/>
    <w:rsid w:val="007E0D30"/>
    <w:rsid w:val="00837314"/>
    <w:rsid w:val="00846635"/>
    <w:rsid w:val="00851EE3"/>
    <w:rsid w:val="008B2D8C"/>
    <w:rsid w:val="00907C7C"/>
    <w:rsid w:val="009152F0"/>
    <w:rsid w:val="009302A0"/>
    <w:rsid w:val="009626F1"/>
    <w:rsid w:val="0097650D"/>
    <w:rsid w:val="009A0C0E"/>
    <w:rsid w:val="009C7E01"/>
    <w:rsid w:val="009E0C39"/>
    <w:rsid w:val="00A00AC7"/>
    <w:rsid w:val="00A14657"/>
    <w:rsid w:val="00A16C55"/>
    <w:rsid w:val="00A437B2"/>
    <w:rsid w:val="00A53D08"/>
    <w:rsid w:val="00BC3CE9"/>
    <w:rsid w:val="00C516BC"/>
    <w:rsid w:val="00C5424F"/>
    <w:rsid w:val="00C57AFE"/>
    <w:rsid w:val="00C631D5"/>
    <w:rsid w:val="00C77BF1"/>
    <w:rsid w:val="00CA2741"/>
    <w:rsid w:val="00CA51D3"/>
    <w:rsid w:val="00D2476D"/>
    <w:rsid w:val="00D55237"/>
    <w:rsid w:val="00D64C14"/>
    <w:rsid w:val="00D65138"/>
    <w:rsid w:val="00DF1130"/>
    <w:rsid w:val="00E23506"/>
    <w:rsid w:val="00F7790C"/>
    <w:rsid w:val="00FD3B58"/>
    <w:rsid w:val="04337167"/>
    <w:rsid w:val="06901263"/>
    <w:rsid w:val="0CAD6E28"/>
    <w:rsid w:val="0DBF3D9F"/>
    <w:rsid w:val="1698029D"/>
    <w:rsid w:val="19640BB3"/>
    <w:rsid w:val="1EFA5B5E"/>
    <w:rsid w:val="1FD03059"/>
    <w:rsid w:val="21A0597C"/>
    <w:rsid w:val="230974E1"/>
    <w:rsid w:val="25A9673C"/>
    <w:rsid w:val="281876EF"/>
    <w:rsid w:val="2A042307"/>
    <w:rsid w:val="2A667E19"/>
    <w:rsid w:val="2E0E526E"/>
    <w:rsid w:val="315B709B"/>
    <w:rsid w:val="3977290E"/>
    <w:rsid w:val="3D375733"/>
    <w:rsid w:val="405D61EB"/>
    <w:rsid w:val="44F11AA7"/>
    <w:rsid w:val="47FF0B70"/>
    <w:rsid w:val="4A2D2262"/>
    <w:rsid w:val="4F0667A0"/>
    <w:rsid w:val="4FB03F57"/>
    <w:rsid w:val="55ED2957"/>
    <w:rsid w:val="5A1500D0"/>
    <w:rsid w:val="5D11008D"/>
    <w:rsid w:val="66186F81"/>
    <w:rsid w:val="66CA3738"/>
    <w:rsid w:val="678C6B09"/>
    <w:rsid w:val="6D1102CA"/>
    <w:rsid w:val="6F981080"/>
    <w:rsid w:val="72A945B8"/>
    <w:rsid w:val="72C0146A"/>
    <w:rsid w:val="7ACB36D3"/>
    <w:rsid w:val="7C341116"/>
    <w:rsid w:val="7D694D68"/>
    <w:rsid w:val="7D930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header"/>
    <w:basedOn w:val="1"/>
    <w:next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3">
    <w:name w:val="Body Text"/>
    <w:basedOn w:val="1"/>
    <w:next w:val="4"/>
    <w:qFormat/>
    <w:uiPriority w:val="0"/>
    <w:pPr>
      <w:jc w:val="center"/>
    </w:pPr>
    <w:rPr>
      <w:sz w:val="44"/>
    </w:rPr>
  </w:style>
  <w:style w:type="paragraph" w:customStyle="1" w:styleId="4">
    <w:name w:val="xl27"/>
    <w:basedOn w:val="1"/>
    <w:autoRedefine/>
    <w:qFormat/>
    <w:uiPriority w:val="99"/>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18030" w:hAnsi="???-18030" w:cs="???-18030"/>
      <w:kern w:val="0"/>
    </w:rPr>
  </w:style>
  <w:style w:type="paragraph" w:styleId="5">
    <w:name w:val="Body Text Indent 2"/>
    <w:basedOn w:val="1"/>
    <w:qFormat/>
    <w:uiPriority w:val="0"/>
    <w:pPr>
      <w:spacing w:line="400" w:lineRule="exact"/>
      <w:ind w:firstLine="570"/>
    </w:pPr>
    <w:rPr>
      <w:color w:val="000000"/>
      <w:sz w:val="28"/>
    </w:rPr>
  </w:style>
  <w:style w:type="paragraph" w:styleId="6">
    <w:name w:val="footer"/>
    <w:basedOn w:val="1"/>
    <w:link w:val="11"/>
    <w:autoRedefine/>
    <w:unhideWhenUsed/>
    <w:qFormat/>
    <w:uiPriority w:val="99"/>
    <w:pPr>
      <w:tabs>
        <w:tab w:val="center" w:pos="4153"/>
        <w:tab w:val="right" w:pos="8306"/>
      </w:tabs>
      <w:snapToGrid w:val="0"/>
      <w:jc w:val="left"/>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2"/>
    <w:autoRedefine/>
    <w:qFormat/>
    <w:uiPriority w:val="99"/>
    <w:rPr>
      <w:sz w:val="18"/>
      <w:szCs w:val="18"/>
    </w:rPr>
  </w:style>
  <w:style w:type="character" w:customStyle="1" w:styleId="11">
    <w:name w:val="页脚 Char"/>
    <w:basedOn w:val="9"/>
    <w:link w:val="6"/>
    <w:qFormat/>
    <w:uiPriority w:val="99"/>
    <w:rPr>
      <w:sz w:val="18"/>
      <w:szCs w:val="18"/>
    </w:rPr>
  </w:style>
  <w:style w:type="paragraph" w:styleId="12">
    <w:name w:val="List Paragraph"/>
    <w:basedOn w:val="1"/>
    <w:autoRedefine/>
    <w:qFormat/>
    <w:uiPriority w:val="34"/>
    <w:pPr>
      <w:ind w:firstLine="420" w:firstLineChars="200"/>
    </w:pPr>
  </w:style>
  <w:style w:type="character" w:customStyle="1" w:styleId="13">
    <w:name w:val="NormalCharacter"/>
    <w:autoRedefine/>
    <w:semiHidden/>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A88DBB-C054-48BA-AAA6-D1A0CF5C9B5D}">
  <ds:schemaRefs/>
</ds:datastoreItem>
</file>

<file path=docProps/app.xml><?xml version="1.0" encoding="utf-8"?>
<Properties xmlns="http://schemas.openxmlformats.org/officeDocument/2006/extended-properties" xmlns:vt="http://schemas.openxmlformats.org/officeDocument/2006/docPropsVTypes">
  <Template>Normal</Template>
  <Pages>5</Pages>
  <Words>355</Words>
  <Characters>2025</Characters>
  <Lines>16</Lines>
  <Paragraphs>4</Paragraphs>
  <TotalTime>24</TotalTime>
  <ScaleCrop>false</ScaleCrop>
  <LinksUpToDate>false</LinksUpToDate>
  <CharactersWithSpaces>2376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2024-04-16T06:53:00Z</dcterms:created>
  <dc:creator>Administrator</dc:creator>
  <cp:lastModifiedBy>Administrator</cp:lastModifiedBy>
  <cp:lastPrinted>2024-03-21T08:15:00Z</cp:lastPrinted>
  <dcterms:modified xsi:type="dcterms:W3CDTF">2024-04-17T03:51:36Z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27C7F94508ED423FAFC8D86D3D74BEDD_13</vt:lpwstr>
  </property>
</Properties>
</file>