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云南省曲靖市富源县2021年</w:t>
      </w:r>
    </w:p>
    <w:bookmarkEnd w:id="0"/>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“三公”经费决算情况说明</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落实《中华人民共和国预算法》关于预算公开的有关规定，实施全面规范、公开透明的预算制度，根据国务院关于推进政府预算信息公开的决策部署和富源县政府工作安排，经富源县财政局汇总，富源县人民政府审定，现将富源县（包括本级/全县行政单位、事业单位以及其他使用一般公共预算财政拨款安排“三公”经费单位）2021年“三公”经费决算情况说明如下：</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2021年富源县一般公共预算财政拨款“三公”经费支出决算汇总数为2076.05万元，较上年增加4.76万元，上升</w:t>
      </w:r>
      <w:r>
        <w:rPr>
          <w:rFonts w:hint="eastAsia" w:ascii="仿宋_GB2312" w:hAnsi="仿宋_GB2312" w:eastAsia="仿宋_GB2312" w:cs="仿宋_GB2312"/>
          <w:color w:val="000000"/>
          <w:kern w:val="0"/>
          <w:sz w:val="32"/>
          <w:szCs w:val="32"/>
        </w:rPr>
        <w:t>0.23%，具体各项情况为：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1、因公出国（境）费为</w:t>
      </w:r>
      <w:r>
        <w:rPr>
          <w:rFonts w:hint="eastAsia" w:ascii="仿宋_GB2312" w:hAnsi="仿宋_GB2312" w:eastAsia="仿宋_GB2312" w:cs="仿宋_GB2312"/>
          <w:color w:val="000000"/>
          <w:kern w:val="0"/>
          <w:sz w:val="32"/>
          <w:szCs w:val="32"/>
        </w:rPr>
        <w:t>0</w:t>
      </w:r>
      <w:r>
        <w:rPr>
          <w:rFonts w:hint="eastAsia" w:ascii="仿宋_GB2312" w:hAnsi="仿宋_GB2312" w:eastAsia="仿宋_GB2312" w:cs="仿宋_GB2312"/>
          <w:sz w:val="32"/>
          <w:szCs w:val="32"/>
        </w:rPr>
        <w:t>万元，较上年无变化，共计安排因公出国（境）团组0个，因公出国（境）0人次。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2、公务接待费为1031.90万元，较上年减少34.5万元，下降3.24%，国内公务接待批次为13,276次，共计接待140,768人次。减少原因为2021年我县严格执行中央厉行节约政策，</w:t>
      </w:r>
      <w:r>
        <w:rPr>
          <w:rFonts w:hint="eastAsia" w:ascii="仿宋_GB2312" w:hAnsi="仿宋_GB2312" w:eastAsia="仿宋_GB2312" w:cs="仿宋_GB2312"/>
          <w:color w:val="000000"/>
          <w:sz w:val="32"/>
          <w:szCs w:val="32"/>
        </w:rPr>
        <w:t>牢固树立过“紧日子”的思想，</w:t>
      </w:r>
      <w:r>
        <w:rPr>
          <w:rFonts w:hint="eastAsia" w:ascii="仿宋_GB2312" w:hAnsi="仿宋_GB2312" w:eastAsia="仿宋_GB2312" w:cs="仿宋_GB2312"/>
          <w:sz w:val="32"/>
          <w:szCs w:val="32"/>
        </w:rPr>
        <w:t>严控行政成本和压缩一般性支出，所以公务接待费较上年有所减少。</w:t>
      </w:r>
    </w:p>
    <w:p>
      <w:pPr>
        <w:spacing w:line="60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3、公务用车购置及运行维护费为1044.14万元，较上年增加12.89万元，增加1.28%（其中：公务用车购置费</w:t>
      </w:r>
      <w:r>
        <w:rPr>
          <w:rFonts w:hint="eastAsia" w:ascii="仿宋_GB2312" w:hAnsi="仿宋_GB2312" w:eastAsia="仿宋_GB2312" w:cs="仿宋_GB2312"/>
          <w:color w:val="000000"/>
          <w:kern w:val="0"/>
          <w:sz w:val="32"/>
          <w:szCs w:val="32"/>
        </w:rPr>
        <w:t>112.90</w:t>
      </w:r>
      <w:r>
        <w:rPr>
          <w:rFonts w:hint="eastAsia" w:ascii="仿宋_GB2312" w:hAnsi="仿宋_GB2312" w:eastAsia="仿宋_GB2312" w:cs="仿宋_GB2312"/>
          <w:sz w:val="32"/>
          <w:szCs w:val="32"/>
        </w:rPr>
        <w:t>万元，较上年增加112.90万元，增长100%，是由于本年度富源县公安局新购置10辆执法执勤用车；公务用车运行维护费</w:t>
      </w:r>
      <w:r>
        <w:rPr>
          <w:rFonts w:hint="eastAsia" w:ascii="仿宋_GB2312" w:hAnsi="仿宋_GB2312" w:eastAsia="仿宋_GB2312" w:cs="仿宋_GB2312"/>
          <w:color w:val="000000"/>
          <w:kern w:val="0"/>
          <w:sz w:val="32"/>
          <w:szCs w:val="32"/>
        </w:rPr>
        <w:t>931.24</w:t>
      </w:r>
      <w:r>
        <w:rPr>
          <w:rFonts w:hint="eastAsia" w:ascii="仿宋_GB2312" w:hAnsi="仿宋_GB2312" w:eastAsia="仿宋_GB2312" w:cs="仿宋_GB2312"/>
          <w:sz w:val="32"/>
          <w:szCs w:val="32"/>
        </w:rPr>
        <w:t>万元，较上年减少73.64万元，减少7.33%）。共计购置公务用车10辆，年末公务用车保有量为360辆。</w:t>
      </w:r>
    </w:p>
    <w:p>
      <w:pPr>
        <w:spacing w:line="600" w:lineRule="exact"/>
        <w:ind w:firstLine="48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总体来说，2021年我县依然树立过“紧日子”的思想，“三公经费”总体呈现上升趋势，是由于本年度新购置10辆公务用车导致，但除公务用车购置费外，其他部分都呈下降趋势，2022年我县将继续加强“三公”经费管理，</w:t>
      </w:r>
      <w:r>
        <w:rPr>
          <w:rFonts w:hint="eastAsia" w:ascii="仿宋_GB2312" w:hAnsi="仿宋_GB2312" w:eastAsia="仿宋_GB2312" w:cs="仿宋_GB2312"/>
          <w:sz w:val="32"/>
          <w:szCs w:val="32"/>
        </w:rPr>
        <w:t>认真落实“三公”经费管理规定，保证“三公”经费透明、公开。</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附件：1.富源县“三公”经费决算数对比情况表</w:t>
      </w:r>
    </w:p>
    <w:p>
      <w:pPr>
        <w:numPr>
          <w:ilvl w:val="0"/>
          <w:numId w:val="1"/>
        </w:num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“三公”经费口径说明</w:t>
      </w:r>
    </w:p>
    <w:p>
      <w:pPr>
        <w:spacing w:line="540" w:lineRule="exact"/>
        <w:ind w:left="1050" w:leftChars="500"/>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spacing w:line="600" w:lineRule="exact"/>
        <w:rPr>
          <w:rFonts w:ascii="仿宋_GB2312" w:eastAsia="仿宋_GB2312"/>
          <w:bCs/>
          <w:sz w:val="30"/>
          <w:szCs w:val="30"/>
        </w:rPr>
      </w:pPr>
    </w:p>
    <w:p>
      <w:pPr>
        <w:jc w:val="center"/>
        <w:rPr>
          <w:rFonts w:ascii="黑体" w:hAnsi="黑体" w:eastAsia="黑体" w:cs="黑体"/>
          <w:bCs/>
          <w:sz w:val="32"/>
          <w:szCs w:val="32"/>
        </w:rPr>
      </w:pPr>
    </w:p>
    <w:p>
      <w:pPr>
        <w:jc w:val="center"/>
        <w:rPr>
          <w:rFonts w:ascii="黑体" w:hAnsi="黑体" w:eastAsia="黑体" w:cs="黑体"/>
          <w:bCs/>
          <w:sz w:val="32"/>
          <w:szCs w:val="32"/>
        </w:rPr>
      </w:pPr>
      <w:r>
        <w:rPr>
          <w:rFonts w:hint="eastAsia" w:ascii="黑体" w:hAnsi="黑体" w:eastAsia="黑体" w:cs="黑体"/>
          <w:bCs/>
          <w:sz w:val="32"/>
          <w:szCs w:val="32"/>
        </w:rPr>
        <w:t>2021年富源县“三公”经费决算数对比情况表</w:t>
      </w:r>
    </w:p>
    <w:tbl>
      <w:tblPr>
        <w:tblStyle w:val="4"/>
        <w:tblW w:w="8338" w:type="dxa"/>
        <w:tblInd w:w="93" w:type="dxa"/>
        <w:tblLayout w:type="fixed"/>
        <w:tblCellMar>
          <w:top w:w="0" w:type="dxa"/>
          <w:left w:w="108" w:type="dxa"/>
          <w:bottom w:w="0" w:type="dxa"/>
          <w:right w:w="108" w:type="dxa"/>
        </w:tblCellMar>
      </w:tblPr>
      <w:tblGrid>
        <w:gridCol w:w="3216"/>
        <w:gridCol w:w="1432"/>
        <w:gridCol w:w="1050"/>
        <w:gridCol w:w="1320"/>
        <w:gridCol w:w="1320"/>
      </w:tblGrid>
      <w:tr>
        <w:tblPrEx>
          <w:tblCellMar>
            <w:top w:w="0" w:type="dxa"/>
            <w:left w:w="108" w:type="dxa"/>
            <w:bottom w:w="0" w:type="dxa"/>
            <w:right w:w="108" w:type="dxa"/>
          </w:tblCellMar>
        </w:tblPrEx>
        <w:trPr>
          <w:trHeight w:val="450" w:hRule="atLeast"/>
        </w:trPr>
        <w:tc>
          <w:tcPr>
            <w:tcW w:w="3216" w:type="dxa"/>
            <w:tcBorders>
              <w:top w:val="nil"/>
              <w:left w:val="nil"/>
              <w:bottom w:val="nil"/>
              <w:right w:val="nil"/>
            </w:tcBorders>
            <w:shd w:val="clear" w:color="auto" w:fill="auto"/>
            <w:vAlign w:val="bottom"/>
          </w:tcPr>
          <w:p>
            <w:pPr>
              <w:widowControl/>
              <w:jc w:val="left"/>
              <w:rPr>
                <w:rFonts w:ascii="宋体" w:hAnsi="宋体" w:cs="Arial"/>
                <w:color w:val="000000"/>
                <w:kern w:val="0"/>
                <w:sz w:val="20"/>
                <w:szCs w:val="20"/>
              </w:rPr>
            </w:pPr>
          </w:p>
          <w:p>
            <w:pPr>
              <w:widowControl/>
              <w:jc w:val="left"/>
              <w:rPr>
                <w:rFonts w:ascii="宋体" w:hAnsi="宋体" w:cs="Arial"/>
                <w:color w:val="000000"/>
                <w:kern w:val="0"/>
                <w:sz w:val="20"/>
                <w:szCs w:val="20"/>
              </w:rPr>
            </w:pPr>
          </w:p>
        </w:tc>
        <w:tc>
          <w:tcPr>
            <w:tcW w:w="1432" w:type="dxa"/>
            <w:tcBorders>
              <w:top w:val="nil"/>
              <w:left w:val="nil"/>
              <w:bottom w:val="nil"/>
              <w:right w:val="nil"/>
            </w:tcBorders>
            <w:shd w:val="clear" w:color="auto" w:fill="auto"/>
            <w:vAlign w:val="center"/>
          </w:tcPr>
          <w:p>
            <w:pPr>
              <w:widowControl/>
              <w:jc w:val="right"/>
              <w:rPr>
                <w:rFonts w:ascii="宋体" w:hAnsi="宋体" w:cs="Arial"/>
                <w:color w:val="000000"/>
                <w:kern w:val="0"/>
                <w:sz w:val="20"/>
                <w:szCs w:val="20"/>
              </w:rPr>
            </w:pPr>
          </w:p>
        </w:tc>
        <w:tc>
          <w:tcPr>
            <w:tcW w:w="1050" w:type="dxa"/>
            <w:tcBorders>
              <w:top w:val="nil"/>
              <w:left w:val="nil"/>
              <w:bottom w:val="nil"/>
              <w:right w:val="nil"/>
            </w:tcBorders>
            <w:shd w:val="clear" w:color="auto" w:fill="auto"/>
            <w:vAlign w:val="center"/>
          </w:tcPr>
          <w:p>
            <w:pPr>
              <w:widowControl/>
              <w:jc w:val="right"/>
              <w:rPr>
                <w:rFonts w:ascii="宋体" w:hAnsi="宋体" w:cs="Arial"/>
                <w:color w:val="000000"/>
                <w:kern w:val="0"/>
                <w:sz w:val="20"/>
                <w:szCs w:val="20"/>
              </w:rPr>
            </w:pPr>
          </w:p>
        </w:tc>
        <w:tc>
          <w:tcPr>
            <w:tcW w:w="1320" w:type="dxa"/>
            <w:tcBorders>
              <w:top w:val="nil"/>
              <w:left w:val="nil"/>
              <w:bottom w:val="nil"/>
              <w:right w:val="nil"/>
            </w:tcBorders>
            <w:shd w:val="clear" w:color="auto" w:fill="auto"/>
            <w:vAlign w:val="center"/>
          </w:tcPr>
          <w:p>
            <w:pPr>
              <w:widowControl/>
              <w:jc w:val="right"/>
              <w:rPr>
                <w:rFonts w:ascii="宋体" w:hAnsi="宋体" w:cs="Arial"/>
                <w:color w:val="000000"/>
                <w:kern w:val="0"/>
                <w:sz w:val="20"/>
                <w:szCs w:val="20"/>
              </w:rPr>
            </w:pPr>
          </w:p>
        </w:tc>
        <w:tc>
          <w:tcPr>
            <w:tcW w:w="1320" w:type="dxa"/>
            <w:tcBorders>
              <w:top w:val="nil"/>
              <w:left w:val="nil"/>
              <w:bottom w:val="nil"/>
              <w:right w:val="nil"/>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单位：万元</w:t>
            </w:r>
          </w:p>
        </w:tc>
      </w:tr>
      <w:tr>
        <w:tblPrEx>
          <w:tblCellMar>
            <w:top w:w="0" w:type="dxa"/>
            <w:left w:w="108" w:type="dxa"/>
            <w:bottom w:w="0" w:type="dxa"/>
            <w:right w:w="108" w:type="dxa"/>
          </w:tblCellMar>
        </w:tblPrEx>
        <w:trPr>
          <w:trHeight w:val="615" w:hRule="atLeast"/>
        </w:trPr>
        <w:tc>
          <w:tcPr>
            <w:tcW w:w="32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项  目</w:t>
            </w:r>
          </w:p>
        </w:tc>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上年</w:t>
            </w:r>
          </w:p>
          <w:p>
            <w:pPr>
              <w:widowControl/>
              <w:jc w:val="center"/>
              <w:rPr>
                <w:rFonts w:ascii="宋体" w:hAnsi="宋体" w:cs="Arial"/>
                <w:color w:val="000000"/>
                <w:kern w:val="0"/>
                <w:sz w:val="20"/>
                <w:szCs w:val="20"/>
              </w:rPr>
            </w:pPr>
            <w:r>
              <w:rPr>
                <w:rFonts w:hint="eastAsia" w:ascii="宋体" w:hAnsi="宋体" w:cs="Arial"/>
                <w:color w:val="000000"/>
                <w:kern w:val="0"/>
                <w:sz w:val="20"/>
                <w:szCs w:val="20"/>
              </w:rPr>
              <w:t>决算数</w:t>
            </w:r>
          </w:p>
        </w:tc>
        <w:tc>
          <w:tcPr>
            <w:tcW w:w="10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本年</w:t>
            </w:r>
          </w:p>
          <w:p>
            <w:pPr>
              <w:widowControl/>
              <w:jc w:val="center"/>
              <w:rPr>
                <w:rFonts w:ascii="宋体" w:hAnsi="宋体" w:cs="Arial"/>
                <w:color w:val="000000"/>
                <w:kern w:val="0"/>
                <w:sz w:val="20"/>
                <w:szCs w:val="20"/>
              </w:rPr>
            </w:pPr>
            <w:r>
              <w:rPr>
                <w:rFonts w:hint="eastAsia" w:ascii="宋体" w:hAnsi="宋体" w:cs="Arial"/>
                <w:color w:val="000000"/>
                <w:kern w:val="0"/>
                <w:sz w:val="20"/>
                <w:szCs w:val="20"/>
              </w:rPr>
              <w:t>决算数</w:t>
            </w:r>
          </w:p>
        </w:tc>
        <w:tc>
          <w:tcPr>
            <w:tcW w:w="26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较上年增减情况</w:t>
            </w:r>
          </w:p>
        </w:tc>
      </w:tr>
      <w:tr>
        <w:tblPrEx>
          <w:tblCellMar>
            <w:top w:w="0" w:type="dxa"/>
            <w:left w:w="108" w:type="dxa"/>
            <w:bottom w:w="0" w:type="dxa"/>
            <w:right w:w="108" w:type="dxa"/>
          </w:tblCellMar>
        </w:tblPrEx>
        <w:trPr>
          <w:trHeight w:val="450" w:hRule="atLeast"/>
        </w:trPr>
        <w:tc>
          <w:tcPr>
            <w:tcW w:w="32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10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Arial"/>
                <w:color w:val="000000"/>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增、减额</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增、减幅度</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  计</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2071.29</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ascii="宋体" w:hAnsi="宋体" w:cs="Arial"/>
                <w:color w:val="000000"/>
                <w:kern w:val="0"/>
                <w:sz w:val="20"/>
                <w:szCs w:val="20"/>
              </w:rPr>
              <w:t>2,076.05</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4.76</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0.23%</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1、因公出国（境）费</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2、公务接待费</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1066.40</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ascii="宋体" w:hAnsi="宋体" w:cs="Arial"/>
                <w:color w:val="000000"/>
                <w:kern w:val="0"/>
                <w:sz w:val="20"/>
                <w:szCs w:val="20"/>
              </w:rPr>
              <w:t>1,031.90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-34.5</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-3.24%</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3、公务用车费</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1004.88</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ascii="宋体" w:hAnsi="宋体" w:cs="Arial"/>
                <w:color w:val="000000"/>
                <w:kern w:val="0"/>
                <w:sz w:val="20"/>
                <w:szCs w:val="20"/>
              </w:rPr>
              <w:t>1,044.14</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39.26</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3.91%</w:t>
            </w:r>
          </w:p>
        </w:tc>
      </w:tr>
      <w:tr>
        <w:tblPrEx>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其中：（1）公务用车购置</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ascii="宋体" w:hAnsi="宋体" w:cs="Arial"/>
                <w:color w:val="000000"/>
                <w:kern w:val="0"/>
                <w:sz w:val="20"/>
                <w:szCs w:val="20"/>
              </w:rPr>
              <w:t>112.90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ascii="宋体" w:hAnsi="宋体" w:cs="Arial"/>
                <w:color w:val="000000"/>
                <w:kern w:val="0"/>
                <w:sz w:val="20"/>
                <w:szCs w:val="20"/>
              </w:rPr>
              <w:t>112.90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100%</w:t>
            </w:r>
          </w:p>
        </w:tc>
      </w:tr>
      <w:tr>
        <w:tblPrEx>
          <w:tblCellMar>
            <w:top w:w="0" w:type="dxa"/>
            <w:left w:w="108" w:type="dxa"/>
            <w:bottom w:w="0" w:type="dxa"/>
            <w:right w:w="108" w:type="dxa"/>
          </w:tblCellMar>
        </w:tblPrEx>
        <w:trPr>
          <w:trHeight w:val="585"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ind w:left="1150" w:leftChars="500" w:hanging="100" w:hangingChars="50"/>
              <w:jc w:val="left"/>
              <w:rPr>
                <w:rFonts w:ascii="宋体" w:hAnsi="宋体" w:cs="Arial"/>
                <w:color w:val="000000"/>
                <w:kern w:val="0"/>
                <w:sz w:val="20"/>
                <w:szCs w:val="20"/>
              </w:rPr>
            </w:pPr>
            <w:r>
              <w:rPr>
                <w:rFonts w:hint="eastAsia" w:ascii="宋体" w:hAnsi="宋体" w:cs="Arial"/>
                <w:color w:val="000000"/>
                <w:kern w:val="0"/>
                <w:sz w:val="20"/>
                <w:szCs w:val="20"/>
              </w:rPr>
              <w:t>（2）公务用车运行维护费</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1004.88</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ascii="宋体" w:hAnsi="宋体" w:cs="Arial"/>
                <w:color w:val="000000"/>
                <w:kern w:val="0"/>
                <w:sz w:val="20"/>
                <w:szCs w:val="20"/>
              </w:rPr>
              <w:t>931.24</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-73.64</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-7.33%</w:t>
            </w:r>
          </w:p>
        </w:tc>
      </w:tr>
    </w:tbl>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“三公”经费口径说明</w:t>
      </w:r>
    </w:p>
    <w:p>
      <w:pPr>
        <w:jc w:val="center"/>
        <w:rPr>
          <w:rFonts w:ascii="仿宋_GB2312" w:hAnsi="仿宋_GB2312" w:eastAsia="仿宋_GB2312" w:cs="仿宋_GB2312"/>
          <w:bCs/>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按照党中央、国务院有关文件及部门预算管理有关规定，“三公”经费包括因公出国（境）费、公务用车购置及运行维护费和公务</w:t>
      </w:r>
      <w:r>
        <w:rPr>
          <w:rFonts w:hint="eastAsia" w:ascii="仿宋_GB2312" w:hAnsi="仿宋_GB2312" w:eastAsia="仿宋_GB2312" w:cs="仿宋_GB2312"/>
          <w:sz w:val="32"/>
          <w:szCs w:val="32"/>
          <w:lang w:eastAsia="zh-CN"/>
        </w:rPr>
        <w:t>接待费</w:t>
      </w:r>
      <w:r>
        <w:rPr>
          <w:rFonts w:hint="eastAsia" w:ascii="仿宋_GB2312" w:hAnsi="仿宋_GB2312" w:eastAsia="仿宋_GB2312" w:cs="仿宋_GB2312"/>
          <w:sz w:val="32"/>
          <w:szCs w:val="32"/>
        </w:rPr>
        <w:t>。</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因公出国（境）费，指单位公务出国（境）的国际旅费、国外城市间交通费、住宿费、伙食费、培训费、公杂费等支出。</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公务用车购置费，指公务用车购置支出（含车辆购置税、拍照费）；公务用车运行维护费，指单位按规定保留的公务用车燃料费、维修费、过路过桥费、保险费、安全奖励费用等支出。</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w:t>
      </w:r>
      <w:r>
        <w:rPr>
          <w:rFonts w:hint="eastAsia" w:ascii="仿宋_GB2312" w:hAnsi="仿宋_GB2312" w:eastAsia="仿宋_GB2312" w:cs="仿宋_GB2312"/>
          <w:sz w:val="32"/>
          <w:szCs w:val="32"/>
          <w:lang w:eastAsia="zh-CN"/>
        </w:rPr>
        <w:t>接待费</w:t>
      </w:r>
      <w:r>
        <w:rPr>
          <w:rFonts w:hint="eastAsia" w:ascii="仿宋_GB2312" w:hAnsi="仿宋_GB2312" w:eastAsia="仿宋_GB2312" w:cs="仿宋_GB2312"/>
          <w:sz w:val="32"/>
          <w:szCs w:val="32"/>
        </w:rPr>
        <w:t>，指单位按规定开支的各类公务接待（含外宾接待）费用。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二、“三公”经费决算数：指各级各部门（含下属单位）用一般公共预算财政拨款（含上年结转结余和当年预算）安排的因公出国（境）费、公务用车购置及运行维护费和公务接待费支出数。</w:t>
      </w:r>
    </w:p>
    <w:p>
      <w:pPr>
        <w:spacing w:line="600" w:lineRule="exact"/>
        <w:ind w:left="1050" w:leftChars="500"/>
        <w:rPr>
          <w:rFonts w:ascii="仿宋_GB2312" w:eastAsia="仿宋_GB2312"/>
          <w:bCs/>
          <w:sz w:val="30"/>
          <w:szCs w:val="30"/>
        </w:rPr>
      </w:pP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1C873"/>
    <w:multiLevelType w:val="singleLevel"/>
    <w:tmpl w:val="5D01C873"/>
    <w:lvl w:ilvl="0" w:tentative="0">
      <w:start w:val="2"/>
      <w:numFmt w:val="decimal"/>
      <w:suff w:val="nothing"/>
      <w:lvlText w:val="%1."/>
      <w:lvlJc w:val="left"/>
    </w:lvl>
  </w:abstractNum>
  <w:abstractNum w:abstractNumId="1">
    <w:nsid w:val="5D01CC24"/>
    <w:multiLevelType w:val="singleLevel"/>
    <w:tmpl w:val="5D01CC2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F306935"/>
    <w:rsid w:val="005C3F3B"/>
    <w:rsid w:val="005D33AC"/>
    <w:rsid w:val="007D4116"/>
    <w:rsid w:val="00811D99"/>
    <w:rsid w:val="008D6BD7"/>
    <w:rsid w:val="009365A6"/>
    <w:rsid w:val="009D55F2"/>
    <w:rsid w:val="00AE173E"/>
    <w:rsid w:val="00CF531C"/>
    <w:rsid w:val="00DC298F"/>
    <w:rsid w:val="00EA66AF"/>
    <w:rsid w:val="00F14687"/>
    <w:rsid w:val="00FF5450"/>
    <w:rsid w:val="04E05005"/>
    <w:rsid w:val="1325115F"/>
    <w:rsid w:val="1FA10353"/>
    <w:rsid w:val="22730CA8"/>
    <w:rsid w:val="260C01F1"/>
    <w:rsid w:val="39755785"/>
    <w:rsid w:val="3C034751"/>
    <w:rsid w:val="3CF36204"/>
    <w:rsid w:val="4B0426C0"/>
    <w:rsid w:val="4F306935"/>
    <w:rsid w:val="5B423803"/>
    <w:rsid w:val="68776372"/>
    <w:rsid w:val="6EED69A1"/>
    <w:rsid w:val="7EAC2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kern w:val="2"/>
      <w:sz w:val="18"/>
      <w:szCs w:val="18"/>
    </w:rPr>
  </w:style>
  <w:style w:type="character" w:customStyle="1" w:styleId="7">
    <w:name w:val="页脚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云南省财政厅</Company>
  <Pages>4</Pages>
  <Words>217</Words>
  <Characters>1239</Characters>
  <Lines>10</Lines>
  <Paragraphs>2</Paragraphs>
  <TotalTime>4</TotalTime>
  <ScaleCrop>false</ScaleCrop>
  <LinksUpToDate>false</LinksUpToDate>
  <CharactersWithSpaces>1454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2022-09-20T02:43:00Z</dcterms:created>
  <dc:creator>王艺涵</dc:creator>
  <cp:lastModifiedBy>Administrator</cp:lastModifiedBy>
  <cp:lastPrinted>2019-08-15T07:47:00Z</cp:lastPrinted>
  <dcterms:modified xsi:type="dcterms:W3CDTF">2024-03-04T02:52:03Z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2C7DA7F4888D47FAA8EE08401D7AF370</vt:lpwstr>
  </property>
</Properties>
</file>