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云南省曲靖市富源县202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bookmarkStart w:id="0" w:name="_GoBack"/>
      <w:bookmarkEnd w:id="0"/>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“三公”经费决算情况说明</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落实《中华人民共和国预算法》关于预算公开的有关规定，实施全面规范、公开透明的预算制度，根据国务院关于推进政府预算信息公开的决策部署和富源县政府工作安排，经富源县财政局汇总，富源县人民政府审定，现将富源县（包括本级/全县行政单位、事业单位以及其他使用一般公共预算财政拨款安排“三公”经费单位）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年“三公”经费决算情况说明如下：</w:t>
      </w:r>
    </w:p>
    <w:p>
      <w:pPr>
        <w:spacing w:line="600" w:lineRule="exact"/>
        <w:ind w:firstLine="640" w:firstLineChars="200"/>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年富源县一般公共预算财政拨款“三公”经费支出决算汇总数为</w:t>
      </w:r>
      <w:r>
        <w:rPr>
          <w:rFonts w:hint="eastAsia" w:ascii="仿宋_GB2312" w:hAnsi="仿宋_GB2312" w:eastAsia="仿宋_GB2312" w:cs="仿宋_GB2312"/>
          <w:sz w:val="32"/>
          <w:szCs w:val="32"/>
          <w:highlight w:val="none"/>
          <w:lang w:val="en-US" w:eastAsia="zh-CN"/>
        </w:rPr>
        <w:t>1886.71</w:t>
      </w:r>
      <w:r>
        <w:rPr>
          <w:rFonts w:hint="eastAsia" w:ascii="仿宋_GB2312" w:hAnsi="仿宋_GB2312" w:eastAsia="仿宋_GB2312" w:cs="仿宋_GB2312"/>
          <w:sz w:val="32"/>
          <w:szCs w:val="32"/>
          <w:highlight w:val="none"/>
        </w:rPr>
        <w:t>万元，较上年</w:t>
      </w:r>
      <w:r>
        <w:rPr>
          <w:rFonts w:hint="eastAsia" w:ascii="仿宋_GB2312" w:hAnsi="仿宋_GB2312" w:eastAsia="仿宋_GB2312" w:cs="仿宋_GB2312"/>
          <w:sz w:val="32"/>
          <w:szCs w:val="32"/>
          <w:highlight w:val="none"/>
          <w:lang w:val="en-US" w:eastAsia="zh-CN"/>
        </w:rPr>
        <w:t>减少189.34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下降</w:t>
      </w:r>
      <w:r>
        <w:rPr>
          <w:rFonts w:hint="eastAsia" w:ascii="仿宋_GB2312" w:hAnsi="仿宋_GB2312" w:eastAsia="仿宋_GB2312" w:cs="仿宋_GB2312"/>
          <w:color w:val="000000"/>
          <w:kern w:val="0"/>
          <w:sz w:val="32"/>
          <w:szCs w:val="32"/>
          <w:highlight w:val="none"/>
          <w:lang w:val="en-US" w:eastAsia="zh-CN"/>
        </w:rPr>
        <w:t>9.12</w:t>
      </w:r>
      <w:r>
        <w:rPr>
          <w:rFonts w:hint="eastAsia" w:ascii="仿宋_GB2312" w:hAnsi="仿宋_GB2312" w:eastAsia="仿宋_GB2312" w:cs="仿宋_GB2312"/>
          <w:color w:val="000000"/>
          <w:kern w:val="0"/>
          <w:sz w:val="32"/>
          <w:szCs w:val="32"/>
          <w:highlight w:val="none"/>
        </w:rPr>
        <w:t>%，具体各项情况为：</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1、因公出国（境）费为</w:t>
      </w:r>
      <w:r>
        <w:rPr>
          <w:rFonts w:hint="eastAsia" w:ascii="仿宋_GB2312" w:hAnsi="仿宋_GB2312" w:eastAsia="仿宋_GB2312" w:cs="仿宋_GB2312"/>
          <w:color w:val="000000"/>
          <w:kern w:val="0"/>
          <w:sz w:val="32"/>
          <w:szCs w:val="32"/>
          <w:highlight w:val="none"/>
        </w:rPr>
        <w:t>0</w:t>
      </w:r>
      <w:r>
        <w:rPr>
          <w:rFonts w:hint="eastAsia" w:ascii="仿宋_GB2312" w:hAnsi="仿宋_GB2312" w:eastAsia="仿宋_GB2312" w:cs="仿宋_GB2312"/>
          <w:sz w:val="32"/>
          <w:szCs w:val="32"/>
          <w:highlight w:val="none"/>
        </w:rPr>
        <w:t>万元，较上年无变化，共计安排因公出国（境）团组0个，因公出国（境）0人次。</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2、公务接待费为</w:t>
      </w:r>
      <w:r>
        <w:rPr>
          <w:rFonts w:hint="eastAsia" w:ascii="仿宋_GB2312" w:hAnsi="仿宋_GB2312" w:eastAsia="仿宋_GB2312" w:cs="仿宋_GB2312"/>
          <w:sz w:val="32"/>
          <w:szCs w:val="32"/>
          <w:highlight w:val="none"/>
          <w:lang w:val="en-US" w:eastAsia="zh-CN"/>
        </w:rPr>
        <w:t>749.65</w:t>
      </w:r>
      <w:r>
        <w:rPr>
          <w:rFonts w:hint="eastAsia" w:ascii="仿宋_GB2312" w:hAnsi="仿宋_GB2312" w:eastAsia="仿宋_GB2312" w:cs="仿宋_GB2312"/>
          <w:sz w:val="32"/>
          <w:szCs w:val="32"/>
          <w:highlight w:val="none"/>
        </w:rPr>
        <w:t>万元，较上年减少</w:t>
      </w:r>
      <w:r>
        <w:rPr>
          <w:rFonts w:hint="eastAsia" w:ascii="仿宋_GB2312" w:hAnsi="仿宋_GB2312" w:eastAsia="仿宋_GB2312" w:cs="仿宋_GB2312"/>
          <w:sz w:val="32"/>
          <w:szCs w:val="32"/>
          <w:highlight w:val="none"/>
          <w:lang w:val="en-US" w:eastAsia="zh-CN"/>
        </w:rPr>
        <w:t>282.25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27.35</w:t>
      </w:r>
      <w:r>
        <w:rPr>
          <w:rFonts w:hint="eastAsia" w:ascii="仿宋_GB2312" w:hAnsi="仿宋_GB2312" w:eastAsia="仿宋_GB2312" w:cs="仿宋_GB2312"/>
          <w:sz w:val="32"/>
          <w:szCs w:val="32"/>
          <w:highlight w:val="none"/>
        </w:rPr>
        <w:t>%，国内公务接待批次为</w:t>
      </w:r>
      <w:r>
        <w:rPr>
          <w:rFonts w:hint="eastAsia" w:ascii="仿宋_GB2312" w:hAnsi="仿宋_GB2312" w:eastAsia="仿宋_GB2312" w:cs="仿宋_GB2312"/>
          <w:sz w:val="32"/>
          <w:szCs w:val="32"/>
          <w:highlight w:val="none"/>
          <w:lang w:val="en-US" w:eastAsia="zh-CN"/>
        </w:rPr>
        <w:t>8897</w:t>
      </w:r>
      <w:r>
        <w:rPr>
          <w:rFonts w:hint="eastAsia" w:ascii="仿宋_GB2312" w:hAnsi="仿宋_GB2312" w:eastAsia="仿宋_GB2312" w:cs="仿宋_GB2312"/>
          <w:sz w:val="32"/>
          <w:szCs w:val="32"/>
          <w:highlight w:val="none"/>
        </w:rPr>
        <w:t>次，共计接待</w:t>
      </w:r>
      <w:r>
        <w:rPr>
          <w:rFonts w:hint="eastAsia" w:ascii="仿宋_GB2312" w:hAnsi="仿宋_GB2312" w:eastAsia="仿宋_GB2312" w:cs="仿宋_GB2312"/>
          <w:sz w:val="32"/>
          <w:szCs w:val="32"/>
          <w:highlight w:val="none"/>
          <w:lang w:val="en-US" w:eastAsia="zh-CN"/>
        </w:rPr>
        <w:t>96126</w:t>
      </w:r>
      <w:r>
        <w:rPr>
          <w:rFonts w:hint="eastAsia" w:ascii="仿宋_GB2312" w:hAnsi="仿宋_GB2312" w:eastAsia="仿宋_GB2312" w:cs="仿宋_GB2312"/>
          <w:sz w:val="32"/>
          <w:szCs w:val="32"/>
          <w:highlight w:val="none"/>
        </w:rPr>
        <w:t>人次。减少原因为202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年我县严格执行中央厉行节约政策，</w:t>
      </w:r>
      <w:r>
        <w:rPr>
          <w:rFonts w:hint="eastAsia" w:ascii="仿宋_GB2312" w:hAnsi="仿宋_GB2312" w:eastAsia="仿宋_GB2312" w:cs="仿宋_GB2312"/>
          <w:color w:val="000000"/>
          <w:sz w:val="32"/>
          <w:szCs w:val="32"/>
          <w:highlight w:val="none"/>
        </w:rPr>
        <w:t>牢固树立过“紧日子”的思想，</w:t>
      </w:r>
      <w:r>
        <w:rPr>
          <w:rFonts w:hint="eastAsia" w:ascii="仿宋_GB2312" w:hAnsi="仿宋_GB2312" w:eastAsia="仿宋_GB2312" w:cs="仿宋_GB2312"/>
          <w:sz w:val="32"/>
          <w:szCs w:val="32"/>
          <w:highlight w:val="none"/>
        </w:rPr>
        <w:t>严控行政成本和压缩一般性支出，所以公务接待费较上年有所减少。</w:t>
      </w:r>
    </w:p>
    <w:p>
      <w:pPr>
        <w:spacing w:line="600" w:lineRule="exact"/>
        <w:ind w:firstLine="48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3、公务用车购置及运行维护费为</w:t>
      </w:r>
      <w:r>
        <w:rPr>
          <w:rFonts w:hint="eastAsia" w:ascii="仿宋_GB2312" w:hAnsi="仿宋_GB2312" w:eastAsia="仿宋_GB2312" w:cs="仿宋_GB2312"/>
          <w:sz w:val="32"/>
          <w:szCs w:val="32"/>
          <w:highlight w:val="none"/>
          <w:lang w:val="en-US" w:eastAsia="zh-CN"/>
        </w:rPr>
        <w:t>1137.06</w:t>
      </w:r>
      <w:r>
        <w:rPr>
          <w:rFonts w:hint="eastAsia" w:ascii="仿宋_GB2312" w:hAnsi="仿宋_GB2312" w:eastAsia="仿宋_GB2312" w:cs="仿宋_GB2312"/>
          <w:sz w:val="32"/>
          <w:szCs w:val="32"/>
          <w:highlight w:val="none"/>
        </w:rPr>
        <w:t>万元，较上年增加</w:t>
      </w:r>
      <w:r>
        <w:rPr>
          <w:rFonts w:hint="eastAsia" w:ascii="仿宋_GB2312" w:hAnsi="仿宋_GB2312" w:eastAsia="仿宋_GB2312" w:cs="仿宋_GB2312"/>
          <w:sz w:val="32"/>
          <w:szCs w:val="32"/>
          <w:highlight w:val="none"/>
          <w:lang w:val="en-US" w:eastAsia="zh-CN"/>
        </w:rPr>
        <w:t>92.92</w:t>
      </w:r>
      <w:r>
        <w:rPr>
          <w:rFonts w:hint="eastAsia" w:ascii="仿宋_GB2312" w:hAnsi="仿宋_GB2312" w:eastAsia="仿宋_GB2312" w:cs="仿宋_GB2312"/>
          <w:sz w:val="32"/>
          <w:szCs w:val="32"/>
          <w:highlight w:val="none"/>
        </w:rPr>
        <w:t>万元，增加</w:t>
      </w:r>
      <w:r>
        <w:rPr>
          <w:rFonts w:hint="eastAsia" w:ascii="仿宋_GB2312" w:hAnsi="仿宋_GB2312" w:eastAsia="仿宋_GB2312" w:cs="仿宋_GB2312"/>
          <w:sz w:val="32"/>
          <w:szCs w:val="32"/>
          <w:highlight w:val="none"/>
          <w:lang w:val="en-US" w:eastAsia="zh-CN"/>
        </w:rPr>
        <w:t>8.90</w:t>
      </w:r>
      <w:r>
        <w:rPr>
          <w:rFonts w:hint="eastAsia" w:ascii="仿宋_GB2312" w:hAnsi="仿宋_GB2312" w:eastAsia="仿宋_GB2312" w:cs="仿宋_GB2312"/>
          <w:sz w:val="32"/>
          <w:szCs w:val="32"/>
          <w:highlight w:val="none"/>
        </w:rPr>
        <w:t>%（其中：公务用车购置费</w:t>
      </w:r>
      <w:r>
        <w:rPr>
          <w:rFonts w:hint="eastAsia" w:ascii="仿宋_GB2312" w:hAnsi="仿宋_GB2312" w:eastAsia="仿宋_GB2312" w:cs="仿宋_GB2312"/>
          <w:color w:val="000000"/>
          <w:kern w:val="0"/>
          <w:sz w:val="32"/>
          <w:szCs w:val="32"/>
          <w:highlight w:val="none"/>
          <w:lang w:val="en-US" w:eastAsia="zh-CN"/>
        </w:rPr>
        <w:t>209.66</w:t>
      </w:r>
      <w:r>
        <w:rPr>
          <w:rFonts w:hint="eastAsia" w:ascii="仿宋_GB2312" w:hAnsi="仿宋_GB2312" w:eastAsia="仿宋_GB2312" w:cs="仿宋_GB2312"/>
          <w:sz w:val="32"/>
          <w:szCs w:val="32"/>
          <w:highlight w:val="none"/>
        </w:rPr>
        <w:t>万元，较上年增加</w:t>
      </w:r>
      <w:r>
        <w:rPr>
          <w:rFonts w:hint="eastAsia" w:ascii="仿宋_GB2312" w:hAnsi="仿宋_GB2312" w:eastAsia="仿宋_GB2312" w:cs="仿宋_GB2312"/>
          <w:sz w:val="32"/>
          <w:szCs w:val="32"/>
          <w:highlight w:val="none"/>
          <w:lang w:val="en-US" w:eastAsia="zh-CN"/>
        </w:rPr>
        <w:t>96.76</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85.70</w:t>
      </w:r>
      <w:r>
        <w:rPr>
          <w:rFonts w:hint="eastAsia" w:ascii="仿宋_GB2312" w:hAnsi="仿宋_GB2312" w:eastAsia="仿宋_GB2312" w:cs="仿宋_GB2312"/>
          <w:sz w:val="32"/>
          <w:szCs w:val="32"/>
          <w:highlight w:val="none"/>
        </w:rPr>
        <w:t>%，是由于本年度</w:t>
      </w:r>
      <w:r>
        <w:rPr>
          <w:rFonts w:hint="eastAsia" w:ascii="仿宋_GB2312" w:hAnsi="仿宋_GB2312" w:eastAsia="仿宋_GB2312" w:cs="仿宋_GB2312"/>
          <w:color w:val="000000"/>
          <w:sz w:val="32"/>
          <w:szCs w:val="32"/>
          <w:highlight w:val="none"/>
        </w:rPr>
        <w:t>中国共产党富源县委员会办公室车辆老化购置了1辆越野车</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富源县</w:t>
      </w:r>
      <w:r>
        <w:rPr>
          <w:rFonts w:hint="eastAsia" w:ascii="仿宋_GB2312" w:hAnsi="仿宋_GB2312" w:eastAsia="仿宋_GB2312" w:cs="仿宋_GB2312"/>
          <w:color w:val="000000"/>
          <w:sz w:val="32"/>
          <w:szCs w:val="32"/>
          <w:highlight w:val="none"/>
          <w:lang w:eastAsia="zh-CN"/>
        </w:rPr>
        <w:t>人民</w:t>
      </w:r>
      <w:r>
        <w:rPr>
          <w:rFonts w:hint="eastAsia" w:ascii="仿宋_GB2312" w:hAnsi="仿宋_GB2312" w:eastAsia="仿宋_GB2312" w:cs="仿宋_GB2312"/>
          <w:color w:val="000000"/>
          <w:sz w:val="32"/>
          <w:szCs w:val="32"/>
          <w:highlight w:val="none"/>
        </w:rPr>
        <w:t>政府办公室车辆老化购置了1辆越野车、富源县公安局新购置20辆特警专用车所导致</w:t>
      </w:r>
      <w:r>
        <w:rPr>
          <w:rFonts w:hint="eastAsia" w:ascii="仿宋_GB2312" w:hAnsi="仿宋_GB2312" w:eastAsia="仿宋_GB2312" w:cs="仿宋_GB2312"/>
          <w:sz w:val="32"/>
          <w:szCs w:val="32"/>
          <w:highlight w:val="none"/>
        </w:rPr>
        <w:t>；公务用车运行维护费</w:t>
      </w:r>
      <w:r>
        <w:rPr>
          <w:rFonts w:hint="eastAsia" w:ascii="仿宋_GB2312" w:hAnsi="仿宋_GB2312" w:eastAsia="仿宋_GB2312" w:cs="仿宋_GB2312"/>
          <w:color w:val="000000"/>
          <w:kern w:val="0"/>
          <w:sz w:val="32"/>
          <w:szCs w:val="32"/>
          <w:highlight w:val="none"/>
          <w:lang w:val="en-US" w:eastAsia="zh-CN"/>
        </w:rPr>
        <w:t>927.40</w:t>
      </w:r>
      <w:r>
        <w:rPr>
          <w:rFonts w:hint="eastAsia" w:ascii="仿宋_GB2312" w:hAnsi="仿宋_GB2312" w:eastAsia="仿宋_GB2312" w:cs="仿宋_GB2312"/>
          <w:sz w:val="32"/>
          <w:szCs w:val="32"/>
          <w:highlight w:val="none"/>
        </w:rPr>
        <w:t>万元，较上年减少</w:t>
      </w:r>
      <w:r>
        <w:rPr>
          <w:rFonts w:hint="eastAsia" w:ascii="仿宋_GB2312" w:hAnsi="仿宋_GB2312" w:eastAsia="仿宋_GB2312" w:cs="仿宋_GB2312"/>
          <w:sz w:val="32"/>
          <w:szCs w:val="32"/>
          <w:highlight w:val="none"/>
          <w:lang w:val="en-US" w:eastAsia="zh-CN"/>
        </w:rPr>
        <w:t>3.84</w:t>
      </w:r>
      <w:r>
        <w:rPr>
          <w:rFonts w:hint="eastAsia" w:ascii="仿宋_GB2312" w:hAnsi="仿宋_GB2312" w:eastAsia="仿宋_GB2312" w:cs="仿宋_GB2312"/>
          <w:sz w:val="32"/>
          <w:szCs w:val="32"/>
          <w:highlight w:val="none"/>
        </w:rPr>
        <w:t>万元，减少</w:t>
      </w:r>
      <w:r>
        <w:rPr>
          <w:rFonts w:hint="eastAsia" w:ascii="仿宋_GB2312" w:hAnsi="仿宋_GB2312" w:eastAsia="仿宋_GB2312" w:cs="仿宋_GB2312"/>
          <w:sz w:val="32"/>
          <w:szCs w:val="32"/>
          <w:highlight w:val="none"/>
          <w:lang w:val="en-US" w:eastAsia="zh-CN"/>
        </w:rPr>
        <w:t>0.41</w:t>
      </w:r>
      <w:r>
        <w:rPr>
          <w:rFonts w:hint="eastAsia" w:ascii="仿宋_GB2312" w:hAnsi="仿宋_GB2312" w:eastAsia="仿宋_GB2312" w:cs="仿宋_GB2312"/>
          <w:sz w:val="32"/>
          <w:szCs w:val="32"/>
          <w:highlight w:val="none"/>
        </w:rPr>
        <w:t>%）。共计购置公务用车</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辆，年末公务用车保有量为</w:t>
      </w:r>
      <w:r>
        <w:rPr>
          <w:rFonts w:hint="eastAsia" w:ascii="仿宋_GB2312" w:hAnsi="仿宋_GB2312" w:eastAsia="仿宋_GB2312" w:cs="仿宋_GB2312"/>
          <w:sz w:val="32"/>
          <w:szCs w:val="32"/>
          <w:highlight w:val="none"/>
          <w:lang w:val="en-US" w:eastAsia="zh-CN"/>
        </w:rPr>
        <w:t>311</w:t>
      </w:r>
      <w:r>
        <w:rPr>
          <w:rFonts w:hint="eastAsia" w:ascii="仿宋_GB2312" w:hAnsi="仿宋_GB2312" w:eastAsia="仿宋_GB2312" w:cs="仿宋_GB2312"/>
          <w:sz w:val="32"/>
          <w:szCs w:val="32"/>
          <w:highlight w:val="none"/>
        </w:rPr>
        <w:t>辆。</w:t>
      </w:r>
    </w:p>
    <w:p>
      <w:pPr>
        <w:spacing w:line="60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总体来说，202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年我县依然贯彻落实过“紧日子”、厉行节约办一切事业和压减非急需非刚性支出，“三公经费”总体呈现</w:t>
      </w:r>
      <w:r>
        <w:rPr>
          <w:rFonts w:hint="eastAsia" w:ascii="仿宋_GB2312" w:hAnsi="仿宋_GB2312" w:eastAsia="仿宋_GB2312" w:cs="仿宋_GB2312"/>
          <w:color w:val="000000"/>
          <w:sz w:val="32"/>
          <w:szCs w:val="32"/>
          <w:lang w:val="en-US" w:eastAsia="zh-CN"/>
        </w:rPr>
        <w:t>下降</w:t>
      </w:r>
      <w:r>
        <w:rPr>
          <w:rFonts w:hint="eastAsia" w:ascii="仿宋_GB2312" w:hAnsi="仿宋_GB2312" w:eastAsia="仿宋_GB2312" w:cs="仿宋_GB2312"/>
          <w:color w:val="000000"/>
          <w:sz w:val="32"/>
          <w:szCs w:val="32"/>
        </w:rPr>
        <w:t>趋势，202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年我县将继续加强“三公”经费管理，</w:t>
      </w:r>
      <w:r>
        <w:rPr>
          <w:rFonts w:hint="eastAsia" w:ascii="仿宋_GB2312" w:hAnsi="仿宋_GB2312" w:eastAsia="仿宋_GB2312" w:cs="仿宋_GB2312"/>
          <w:sz w:val="32"/>
          <w:szCs w:val="32"/>
        </w:rPr>
        <w:t>认真落实“三公”经费管理规定，保证“三公”经费透明、公开。</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附件：1.富源县“三公”经费决算数对比情况表</w:t>
      </w:r>
    </w:p>
    <w:p>
      <w:pPr>
        <w:numPr>
          <w:ilvl w:val="0"/>
          <w:numId w:val="1"/>
        </w:num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“三公”经费口径说明</w:t>
      </w:r>
    </w:p>
    <w:p>
      <w:pPr>
        <w:spacing w:line="540" w:lineRule="exact"/>
        <w:ind w:left="1050" w:leftChars="500"/>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jc w:val="center"/>
        <w:rPr>
          <w:rFonts w:ascii="黑体" w:hAnsi="黑体" w:eastAsia="黑体" w:cs="黑体"/>
          <w:bCs/>
          <w:sz w:val="32"/>
          <w:szCs w:val="32"/>
        </w:rPr>
      </w:pPr>
    </w:p>
    <w:p>
      <w:pPr>
        <w:jc w:val="center"/>
        <w:rPr>
          <w:rFonts w:ascii="黑体" w:hAnsi="黑体" w:eastAsia="黑体" w:cs="黑体"/>
          <w:bCs/>
          <w:sz w:val="32"/>
          <w:szCs w:val="32"/>
        </w:rPr>
      </w:pPr>
      <w:r>
        <w:rPr>
          <w:rFonts w:hint="eastAsia" w:ascii="黑体" w:hAnsi="黑体" w:eastAsia="黑体" w:cs="黑体"/>
          <w:bCs/>
          <w:sz w:val="32"/>
          <w:szCs w:val="32"/>
        </w:rPr>
        <w:t>202</w:t>
      </w:r>
      <w:r>
        <w:rPr>
          <w:rFonts w:hint="eastAsia" w:ascii="黑体" w:hAnsi="黑体" w:eastAsia="黑体" w:cs="黑体"/>
          <w:bCs/>
          <w:sz w:val="32"/>
          <w:szCs w:val="32"/>
          <w:lang w:val="en-US" w:eastAsia="zh-CN"/>
        </w:rPr>
        <w:t>2</w:t>
      </w:r>
      <w:r>
        <w:rPr>
          <w:rFonts w:hint="eastAsia" w:ascii="黑体" w:hAnsi="黑体" w:eastAsia="黑体" w:cs="黑体"/>
          <w:bCs/>
          <w:sz w:val="32"/>
          <w:szCs w:val="32"/>
        </w:rPr>
        <w:t>年富源县“三公”经费决算数对比情况表</w:t>
      </w:r>
    </w:p>
    <w:tbl>
      <w:tblPr>
        <w:tblStyle w:val="4"/>
        <w:tblW w:w="8338" w:type="dxa"/>
        <w:tblInd w:w="93" w:type="dxa"/>
        <w:tblLayout w:type="fixed"/>
        <w:tblCellMar>
          <w:top w:w="0" w:type="dxa"/>
          <w:left w:w="108" w:type="dxa"/>
          <w:bottom w:w="0" w:type="dxa"/>
          <w:right w:w="108" w:type="dxa"/>
        </w:tblCellMar>
      </w:tblPr>
      <w:tblGrid>
        <w:gridCol w:w="3216"/>
        <w:gridCol w:w="1432"/>
        <w:gridCol w:w="1050"/>
        <w:gridCol w:w="1320"/>
        <w:gridCol w:w="1320"/>
      </w:tblGrid>
      <w:tr>
        <w:tblPrEx>
          <w:tblCellMar>
            <w:top w:w="0" w:type="dxa"/>
            <w:left w:w="108" w:type="dxa"/>
            <w:bottom w:w="0" w:type="dxa"/>
            <w:right w:w="108" w:type="dxa"/>
          </w:tblCellMar>
        </w:tblPrEx>
        <w:trPr>
          <w:trHeight w:val="450" w:hRule="atLeast"/>
        </w:trPr>
        <w:tc>
          <w:tcPr>
            <w:tcW w:w="3216" w:type="dxa"/>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p>
          <w:p>
            <w:pPr>
              <w:widowControl/>
              <w:jc w:val="left"/>
              <w:rPr>
                <w:rFonts w:ascii="宋体" w:hAnsi="宋体" w:cs="Arial"/>
                <w:color w:val="000000"/>
                <w:kern w:val="0"/>
                <w:sz w:val="20"/>
                <w:szCs w:val="20"/>
              </w:rPr>
            </w:pPr>
          </w:p>
        </w:tc>
        <w:tc>
          <w:tcPr>
            <w:tcW w:w="1432" w:type="dxa"/>
            <w:tcBorders>
              <w:top w:val="nil"/>
              <w:left w:val="nil"/>
              <w:bottom w:val="nil"/>
              <w:right w:val="nil"/>
            </w:tcBorders>
            <w:shd w:val="clear" w:color="auto" w:fill="auto"/>
            <w:vAlign w:val="center"/>
          </w:tcPr>
          <w:p>
            <w:pPr>
              <w:widowControl/>
              <w:jc w:val="right"/>
              <w:rPr>
                <w:rFonts w:ascii="宋体" w:hAnsi="宋体" w:cs="Arial"/>
                <w:color w:val="000000"/>
                <w:kern w:val="0"/>
                <w:sz w:val="20"/>
                <w:szCs w:val="20"/>
              </w:rPr>
            </w:pPr>
          </w:p>
        </w:tc>
        <w:tc>
          <w:tcPr>
            <w:tcW w:w="1050" w:type="dxa"/>
            <w:tcBorders>
              <w:top w:val="nil"/>
              <w:left w:val="nil"/>
              <w:bottom w:val="nil"/>
              <w:right w:val="nil"/>
            </w:tcBorders>
            <w:shd w:val="clear" w:color="auto" w:fill="auto"/>
            <w:vAlign w:val="center"/>
          </w:tcPr>
          <w:p>
            <w:pPr>
              <w:widowControl/>
              <w:jc w:val="right"/>
              <w:rPr>
                <w:rFonts w:ascii="宋体" w:hAnsi="宋体" w:cs="Arial"/>
                <w:color w:val="000000"/>
                <w:kern w:val="0"/>
                <w:sz w:val="20"/>
                <w:szCs w:val="20"/>
              </w:rPr>
            </w:pPr>
          </w:p>
        </w:tc>
        <w:tc>
          <w:tcPr>
            <w:tcW w:w="1320" w:type="dxa"/>
            <w:tcBorders>
              <w:top w:val="nil"/>
              <w:left w:val="nil"/>
              <w:bottom w:val="nil"/>
              <w:right w:val="nil"/>
            </w:tcBorders>
            <w:shd w:val="clear" w:color="auto" w:fill="auto"/>
            <w:vAlign w:val="center"/>
          </w:tcPr>
          <w:p>
            <w:pPr>
              <w:widowControl/>
              <w:jc w:val="right"/>
              <w:rPr>
                <w:rFonts w:ascii="宋体" w:hAnsi="宋体" w:cs="Arial"/>
                <w:color w:val="000000"/>
                <w:kern w:val="0"/>
                <w:sz w:val="20"/>
                <w:szCs w:val="20"/>
              </w:rPr>
            </w:pPr>
          </w:p>
        </w:tc>
        <w:tc>
          <w:tcPr>
            <w:tcW w:w="1320" w:type="dxa"/>
            <w:tcBorders>
              <w:top w:val="nil"/>
              <w:left w:val="nil"/>
              <w:bottom w:val="nil"/>
              <w:right w:val="nil"/>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615" w:hRule="atLeast"/>
        </w:trPr>
        <w:tc>
          <w:tcPr>
            <w:tcW w:w="32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  目</w:t>
            </w:r>
          </w:p>
        </w:tc>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上年</w:t>
            </w:r>
          </w:p>
          <w:p>
            <w:pPr>
              <w:widowControl/>
              <w:jc w:val="center"/>
              <w:rPr>
                <w:rFonts w:ascii="宋体" w:hAnsi="宋体" w:cs="Arial"/>
                <w:color w:val="000000"/>
                <w:kern w:val="0"/>
                <w:sz w:val="20"/>
                <w:szCs w:val="20"/>
              </w:rPr>
            </w:pPr>
            <w:r>
              <w:rPr>
                <w:rFonts w:hint="eastAsia" w:ascii="宋体" w:hAnsi="宋体" w:cs="Arial"/>
                <w:color w:val="000000"/>
                <w:kern w:val="0"/>
                <w:sz w:val="20"/>
                <w:szCs w:val="20"/>
              </w:rPr>
              <w:t>决算数</w:t>
            </w:r>
          </w:p>
        </w:tc>
        <w:tc>
          <w:tcPr>
            <w:tcW w:w="10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本年</w:t>
            </w:r>
          </w:p>
          <w:p>
            <w:pPr>
              <w:widowControl/>
              <w:jc w:val="center"/>
              <w:rPr>
                <w:rFonts w:ascii="宋体" w:hAnsi="宋体" w:cs="Arial"/>
                <w:color w:val="000000"/>
                <w:kern w:val="0"/>
                <w:sz w:val="20"/>
                <w:szCs w:val="20"/>
              </w:rPr>
            </w:pPr>
            <w:r>
              <w:rPr>
                <w:rFonts w:hint="eastAsia" w:ascii="宋体" w:hAnsi="宋体" w:cs="Arial"/>
                <w:color w:val="000000"/>
                <w:kern w:val="0"/>
                <w:sz w:val="20"/>
                <w:szCs w:val="20"/>
              </w:rPr>
              <w:t>决算数</w:t>
            </w:r>
          </w:p>
        </w:tc>
        <w:tc>
          <w:tcPr>
            <w:tcW w:w="26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较上年增减情况</w:t>
            </w:r>
          </w:p>
        </w:tc>
      </w:tr>
      <w:tr>
        <w:tblPrEx>
          <w:tblCellMar>
            <w:top w:w="0" w:type="dxa"/>
            <w:left w:w="108" w:type="dxa"/>
            <w:bottom w:w="0" w:type="dxa"/>
            <w:right w:w="108" w:type="dxa"/>
          </w:tblCellMar>
        </w:tblPrEx>
        <w:trPr>
          <w:trHeight w:val="450" w:hRule="atLeast"/>
        </w:trPr>
        <w:tc>
          <w:tcPr>
            <w:tcW w:w="32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0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Arial"/>
                <w:color w:val="000000"/>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增、减额</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增、减幅度</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  计</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ascii="宋体" w:hAnsi="宋体" w:cs="Arial"/>
                <w:color w:val="000000"/>
                <w:kern w:val="0"/>
                <w:sz w:val="20"/>
                <w:szCs w:val="20"/>
              </w:rPr>
              <w:t>2,076.05</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1886.71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-189.34</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lang w:val="en-US" w:eastAsia="zh-CN"/>
              </w:rPr>
              <w:t>-9.12</w:t>
            </w:r>
            <w:r>
              <w:rPr>
                <w:rFonts w:hint="eastAsia" w:ascii="宋体" w:hAnsi="宋体" w:cs="Arial"/>
                <w:color w:val="000000"/>
                <w:kern w:val="0"/>
                <w:sz w:val="20"/>
                <w:szCs w:val="20"/>
              </w:rPr>
              <w:t>%</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1、因公出国（境）费</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2、公务接待费</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ascii="宋体" w:hAnsi="宋体" w:cs="Arial"/>
                <w:color w:val="000000"/>
                <w:kern w:val="0"/>
                <w:sz w:val="20"/>
                <w:szCs w:val="20"/>
              </w:rPr>
              <w:t>1,031.90</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749.65</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-282.25</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w:t>
            </w:r>
            <w:r>
              <w:rPr>
                <w:rFonts w:hint="eastAsia" w:ascii="宋体" w:hAnsi="宋体" w:cs="Arial"/>
                <w:color w:val="000000"/>
                <w:kern w:val="0"/>
                <w:sz w:val="20"/>
                <w:szCs w:val="20"/>
                <w:lang w:val="en-US" w:eastAsia="zh-CN"/>
              </w:rPr>
              <w:t>27.35</w:t>
            </w:r>
            <w:r>
              <w:rPr>
                <w:rFonts w:hint="eastAsia" w:ascii="宋体" w:hAnsi="宋体" w:cs="Arial"/>
                <w:color w:val="000000"/>
                <w:kern w:val="0"/>
                <w:sz w:val="20"/>
                <w:szCs w:val="20"/>
              </w:rPr>
              <w:t>%</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3、公务用车费</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ascii="宋体" w:hAnsi="宋体" w:cs="Arial"/>
                <w:color w:val="000000"/>
                <w:kern w:val="0"/>
                <w:sz w:val="20"/>
                <w:szCs w:val="20"/>
              </w:rPr>
              <w:t>1,044.14</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1137.06</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rPr>
              <w:t xml:space="preserve"> </w:t>
            </w:r>
            <w:r>
              <w:rPr>
                <w:rFonts w:hint="eastAsia" w:ascii="宋体" w:hAnsi="宋体" w:cs="Arial"/>
                <w:color w:val="000000"/>
                <w:kern w:val="0"/>
                <w:sz w:val="20"/>
                <w:szCs w:val="20"/>
                <w:lang w:val="en-US" w:eastAsia="zh-CN"/>
              </w:rPr>
              <w:t>92.92</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lang w:val="en-US" w:eastAsia="zh-CN"/>
              </w:rPr>
              <w:t>8.90</w:t>
            </w:r>
            <w:r>
              <w:rPr>
                <w:rFonts w:hint="eastAsia" w:ascii="宋体" w:hAnsi="宋体" w:cs="Arial"/>
                <w:color w:val="000000"/>
                <w:kern w:val="0"/>
                <w:sz w:val="20"/>
                <w:szCs w:val="20"/>
              </w:rPr>
              <w:t>%</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其中：（1）公务用车购置</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ascii="宋体" w:hAnsi="宋体" w:cs="Arial"/>
                <w:color w:val="000000"/>
                <w:kern w:val="0"/>
                <w:sz w:val="20"/>
                <w:szCs w:val="20"/>
              </w:rPr>
              <w:t>112.90</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209.66</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96.76</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lang w:val="en-US" w:eastAsia="zh-CN"/>
              </w:rPr>
              <w:t>85.70</w:t>
            </w:r>
            <w:r>
              <w:rPr>
                <w:rFonts w:hint="eastAsia" w:ascii="宋体" w:hAnsi="宋体" w:cs="Arial"/>
                <w:color w:val="000000"/>
                <w:kern w:val="0"/>
                <w:sz w:val="20"/>
                <w:szCs w:val="20"/>
              </w:rPr>
              <w:t>%</w:t>
            </w:r>
          </w:p>
        </w:tc>
      </w:tr>
      <w:tr>
        <w:tblPrEx>
          <w:tblCellMar>
            <w:top w:w="0" w:type="dxa"/>
            <w:left w:w="108" w:type="dxa"/>
            <w:bottom w:w="0" w:type="dxa"/>
            <w:right w:w="108" w:type="dxa"/>
          </w:tblCellMar>
        </w:tblPrEx>
        <w:trPr>
          <w:trHeight w:val="585"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ind w:left="1150" w:leftChars="500" w:hanging="100" w:hangingChars="50"/>
              <w:jc w:val="left"/>
              <w:rPr>
                <w:rFonts w:ascii="宋体" w:hAnsi="宋体" w:cs="Arial"/>
                <w:color w:val="000000"/>
                <w:kern w:val="0"/>
                <w:sz w:val="20"/>
                <w:szCs w:val="20"/>
              </w:rPr>
            </w:pPr>
            <w:r>
              <w:rPr>
                <w:rFonts w:hint="eastAsia" w:ascii="宋体" w:hAnsi="宋体" w:cs="Arial"/>
                <w:color w:val="000000"/>
                <w:kern w:val="0"/>
                <w:sz w:val="20"/>
                <w:szCs w:val="20"/>
              </w:rPr>
              <w:t>（2）公务用车运行维护费</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ascii="宋体" w:hAnsi="宋体" w:cs="Arial"/>
                <w:color w:val="000000"/>
                <w:kern w:val="0"/>
                <w:sz w:val="20"/>
                <w:szCs w:val="20"/>
              </w:rPr>
              <w:t>931.24</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927.40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rPr>
              <w:t xml:space="preserve"> -</w:t>
            </w:r>
            <w:r>
              <w:rPr>
                <w:rFonts w:hint="eastAsia" w:ascii="宋体" w:hAnsi="宋体" w:cs="Arial"/>
                <w:color w:val="000000"/>
                <w:kern w:val="0"/>
                <w:sz w:val="20"/>
                <w:szCs w:val="20"/>
                <w:lang w:val="en-US" w:eastAsia="zh-CN"/>
              </w:rPr>
              <w:t>3.84</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w:t>
            </w:r>
            <w:r>
              <w:rPr>
                <w:rFonts w:hint="eastAsia" w:ascii="宋体" w:hAnsi="宋体" w:cs="Arial"/>
                <w:color w:val="000000"/>
                <w:kern w:val="0"/>
                <w:sz w:val="20"/>
                <w:szCs w:val="20"/>
                <w:lang w:val="en-US" w:eastAsia="zh-CN"/>
              </w:rPr>
              <w:t>0.41</w:t>
            </w:r>
            <w:r>
              <w:rPr>
                <w:rFonts w:hint="eastAsia" w:ascii="宋体" w:hAnsi="宋体" w:cs="Arial"/>
                <w:color w:val="000000"/>
                <w:kern w:val="0"/>
                <w:sz w:val="20"/>
                <w:szCs w:val="20"/>
              </w:rPr>
              <w:t>%</w:t>
            </w:r>
          </w:p>
        </w:tc>
      </w:tr>
    </w:tbl>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“三公”经费口径说明</w:t>
      </w:r>
    </w:p>
    <w:p>
      <w:pPr>
        <w:jc w:val="center"/>
        <w:rPr>
          <w:rFonts w:ascii="仿宋_GB2312" w:hAnsi="仿宋_GB2312" w:eastAsia="仿宋_GB2312" w:cs="仿宋_GB2312"/>
          <w:bCs/>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按照党中央、国务院有关文件及部门预算管理有关规定，“三公”经费包括因公出国（境）费、公务用车购置及运行维护费和公务</w:t>
      </w:r>
      <w:r>
        <w:rPr>
          <w:rFonts w:hint="default" w:ascii="仿宋_GB2312" w:hAnsi="仿宋_GB2312" w:eastAsia="仿宋_GB2312" w:cs="仿宋_GB2312"/>
          <w:sz w:val="32"/>
          <w:szCs w:val="32"/>
          <w:lang w:val="en"/>
        </w:rPr>
        <w:t>接待费</w:t>
      </w:r>
      <w:r>
        <w:rPr>
          <w:rFonts w:hint="eastAsia" w:ascii="仿宋_GB2312" w:hAnsi="仿宋_GB2312" w:eastAsia="仿宋_GB2312" w:cs="仿宋_GB2312"/>
          <w:sz w:val="32"/>
          <w:szCs w:val="32"/>
        </w:rPr>
        <w:t>。</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因公出国（境）费，指单位公务出国（境）的国际旅费、国外城市间交通费、住宿费、伙食费、培训费、公杂费等支出。</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公务用车购置费，指公务用车购置支出（含车辆购置税、拍照费）；公务用车运行维护费，指单位按规定保留的公务用车燃料费、维修费、过路过桥费、保险费、安全奖励费用等支出。</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w:t>
      </w:r>
      <w:r>
        <w:rPr>
          <w:rFonts w:hint="default" w:ascii="仿宋_GB2312" w:hAnsi="仿宋_GB2312" w:eastAsia="仿宋_GB2312" w:cs="仿宋_GB2312"/>
          <w:sz w:val="32"/>
          <w:szCs w:val="32"/>
          <w:lang w:val="en"/>
        </w:rPr>
        <w:t>接待费</w:t>
      </w:r>
      <w:r>
        <w:rPr>
          <w:rFonts w:hint="eastAsia" w:ascii="仿宋_GB2312" w:hAnsi="仿宋_GB2312" w:eastAsia="仿宋_GB2312" w:cs="仿宋_GB2312"/>
          <w:sz w:val="32"/>
          <w:szCs w:val="32"/>
        </w:rPr>
        <w:t>，指单位按规定开支的各类公务接待（含外宾接待）费用。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二、“三公”经费决算数：指各级各部门（含下属单位）用一般公共预算财政拨款（含上年结转结余和当年预算）安排的因公出国（境）费、公务用车购置及运行维护费和公务接待费支出数。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1C873"/>
    <w:multiLevelType w:val="singleLevel"/>
    <w:tmpl w:val="5D01C873"/>
    <w:lvl w:ilvl="0" w:tentative="0">
      <w:start w:val="2"/>
      <w:numFmt w:val="decimal"/>
      <w:suff w:val="nothing"/>
      <w:lvlText w:val="%1."/>
      <w:lvlJc w:val="left"/>
    </w:lvl>
  </w:abstractNum>
  <w:abstractNum w:abstractNumId="1">
    <w:nsid w:val="5D01CC24"/>
    <w:multiLevelType w:val="singleLevel"/>
    <w:tmpl w:val="5D01CC2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F306935"/>
    <w:rsid w:val="005C3F3B"/>
    <w:rsid w:val="005D33AC"/>
    <w:rsid w:val="007D4116"/>
    <w:rsid w:val="00811D99"/>
    <w:rsid w:val="008D6BD7"/>
    <w:rsid w:val="009365A6"/>
    <w:rsid w:val="009D55F2"/>
    <w:rsid w:val="00AE173E"/>
    <w:rsid w:val="00CF531C"/>
    <w:rsid w:val="00DC298F"/>
    <w:rsid w:val="00EA66AF"/>
    <w:rsid w:val="00F14687"/>
    <w:rsid w:val="00FF5450"/>
    <w:rsid w:val="04E05005"/>
    <w:rsid w:val="0EF44B98"/>
    <w:rsid w:val="124C3245"/>
    <w:rsid w:val="1325115F"/>
    <w:rsid w:val="1FA10353"/>
    <w:rsid w:val="1FC478BB"/>
    <w:rsid w:val="22730CA8"/>
    <w:rsid w:val="23D921E4"/>
    <w:rsid w:val="260C01F1"/>
    <w:rsid w:val="26CF0A93"/>
    <w:rsid w:val="2CC274C2"/>
    <w:rsid w:val="386D1E89"/>
    <w:rsid w:val="39755785"/>
    <w:rsid w:val="3CF36204"/>
    <w:rsid w:val="3F7A2ABE"/>
    <w:rsid w:val="4F306935"/>
    <w:rsid w:val="597D4EA5"/>
    <w:rsid w:val="5A0E1BFD"/>
    <w:rsid w:val="5B423803"/>
    <w:rsid w:val="60A44D8C"/>
    <w:rsid w:val="68776372"/>
    <w:rsid w:val="6EED69A1"/>
    <w:rsid w:val="73917D5A"/>
    <w:rsid w:val="7DCA33FB"/>
    <w:rsid w:val="7EAC2FBC"/>
    <w:rsid w:val="7ED57BDD"/>
    <w:rsid w:val="7FC00F94"/>
    <w:rsid w:val="F777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云南省财政厅</Company>
  <Pages>4</Pages>
  <Words>217</Words>
  <Characters>1239</Characters>
  <Lines>10</Lines>
  <Paragraphs>2</Paragraphs>
  <TotalTime>1</TotalTime>
  <ScaleCrop>false</ScaleCrop>
  <LinksUpToDate>false</LinksUpToDate>
  <CharactersWithSpaces>1454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2022-09-20T10:43:00Z</dcterms:created>
  <dc:creator>王艺涵</dc:creator>
  <cp:lastModifiedBy>kylin</cp:lastModifiedBy>
  <cp:lastPrinted>2019-08-15T15:47:00Z</cp:lastPrinted>
  <dcterms:modified xsi:type="dcterms:W3CDTF">2024-01-30T10:31:27Z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C096778039D74736BD895FDFB53D0ADA</vt:lpwstr>
  </property>
</Properties>
</file>