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pPr>
      <w:bookmarkStart w:id="0" w:name="_GoBack"/>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2023</w:t>
      </w:r>
      <w:r>
        <w:rPr>
          <w:rFonts w:hint="eastAsia"/>
          <w:lang w:eastAsia="zh-CN"/>
        </w:rPr>
        <w:t>〕</w:t>
      </w:r>
      <w:r>
        <w:rPr>
          <w:rFonts w:hint="eastAsia"/>
          <w:lang w:val="en-US" w:eastAsia="zh-CN"/>
        </w:rPr>
        <w:t>165</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富源县人民政府关于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同意实施2023年正向激励资金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kern w:val="2"/>
          <w:sz w:val="44"/>
          <w:szCs w:val="44"/>
          <w:lang w:val="en-US" w:eastAsia="zh-CN" w:bidi="ar"/>
        </w:rPr>
        <w:t>和项目结余资金农业产业项目的批复</w:t>
      </w:r>
    </w:p>
    <w:p>
      <w:pPr>
        <w:keepNext w:val="0"/>
        <w:keepLines w:val="0"/>
        <w:pageBreakBefore w:val="0"/>
        <w:widowControl w:val="0"/>
        <w:suppressLineNumbers w:val="0"/>
        <w:kinsoku/>
        <w:wordWrap/>
        <w:overflowPunct/>
        <w:topLinePunct w:val="0"/>
        <w:autoSpaceDE/>
        <w:autoSpaceDN/>
        <w:bidi w:val="0"/>
        <w:adjustRightInd/>
        <w:snapToGrid/>
        <w:spacing w:before="120" w:beforeLines="50" w:beforeAutospacing="0" w:afterAutospacing="0" w:line="600" w:lineRule="exact"/>
        <w:ind w:left="0" w:leftChars="0" w:right="0" w:rightChars="0"/>
        <w:jc w:val="both"/>
        <w:textAlignment w:val="auto"/>
        <w:outlineLvl w:val="9"/>
        <w:rPr>
          <w:rFonts w:cs="Times New Roman"/>
          <w:szCs w:val="32"/>
          <w:lang w:val="en-US"/>
        </w:rPr>
      </w:pPr>
      <w:r>
        <w:rPr>
          <w:rFonts w:hint="eastAsia" w:ascii="Times New Roman" w:hAnsi="方正仿宋_GBK" w:eastAsia="方正仿宋_GBK" w:cs="Times New Roman"/>
          <w:kern w:val="2"/>
          <w:sz w:val="32"/>
          <w:szCs w:val="32"/>
          <w:lang w:val="en-US" w:eastAsia="zh-CN" w:bidi="ar"/>
        </w:rPr>
        <w:t>县</w:t>
      </w:r>
      <w:r>
        <w:rPr>
          <w:rFonts w:hint="eastAsia" w:hAnsi="方正仿宋_GBK" w:cs="Times New Roman"/>
          <w:kern w:val="2"/>
          <w:sz w:val="32"/>
          <w:szCs w:val="32"/>
          <w:lang w:val="en-US" w:eastAsia="zh-CN" w:bidi="ar"/>
        </w:rPr>
        <w:t>农业农村</w:t>
      </w:r>
      <w:r>
        <w:rPr>
          <w:rFonts w:hint="eastAsia" w:ascii="Times New Roman" w:hAnsi="方正仿宋_GBK" w:eastAsia="方正仿宋_GBK" w:cs="Times New Roman"/>
          <w:kern w:val="2"/>
          <w:sz w:val="32"/>
          <w:szCs w:val="32"/>
          <w:lang w:val="en-US" w:eastAsia="zh-CN" w:bidi="ar"/>
        </w:rPr>
        <w:t>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24"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《富源县</w:t>
      </w:r>
      <w:r>
        <w:rPr>
          <w:rFonts w:hint="eastAsia" w:hAnsi="方正仿宋_GBK" w:cs="Times New Roman"/>
          <w:color w:val="000000"/>
          <w:kern w:val="2"/>
          <w:sz w:val="32"/>
          <w:szCs w:val="32"/>
          <w:lang w:val="en-US" w:eastAsia="zh-CN" w:bidi="ar"/>
        </w:rPr>
        <w:t>农业农村</w:t>
      </w:r>
      <w:r>
        <w:rPr>
          <w:rFonts w:hint="eastAsia" w:ascii="Times New Roman" w:hAnsi="方正仿宋_GBK" w:eastAsia="方正仿宋_GBK" w:cs="Times New Roman"/>
          <w:kern w:val="2"/>
          <w:sz w:val="32"/>
          <w:szCs w:val="32"/>
          <w:lang w:val="en-US" w:eastAsia="zh-CN" w:bidi="ar"/>
        </w:rPr>
        <w:t>局</w:t>
      </w:r>
      <w:r>
        <w:rPr>
          <w:rFonts w:hint="eastAsia" w:ascii="Times New Roman" w:hAnsi="方正仿宋_GBK" w:eastAsia="方正仿宋_GBK" w:cs="Times New Roman"/>
          <w:color w:val="000000"/>
          <w:kern w:val="2"/>
          <w:sz w:val="32"/>
          <w:szCs w:val="32"/>
          <w:lang w:val="en-US" w:eastAsia="zh-CN" w:bidi="ar"/>
        </w:rPr>
        <w:t>关于</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年正向激励资金和项目结余资金农业产业项目的请示》（富</w:t>
      </w:r>
      <w:r>
        <w:rPr>
          <w:rFonts w:hint="eastAsia" w:hAnsi="方正仿宋_GBK" w:cs="Times New Roman"/>
          <w:color w:val="000000"/>
          <w:kern w:val="2"/>
          <w:sz w:val="32"/>
          <w:szCs w:val="32"/>
          <w:lang w:val="en-US" w:eastAsia="zh-CN" w:bidi="ar"/>
        </w:rPr>
        <w:t>农</w:t>
      </w:r>
      <w:r>
        <w:rPr>
          <w:rFonts w:hint="eastAsia" w:ascii="Times New Roman" w:hAnsi="方正仿宋_GBK" w:eastAsia="方正仿宋_GBK" w:cs="Times New Roman"/>
          <w:color w:val="000000"/>
          <w:kern w:val="2"/>
          <w:sz w:val="32"/>
          <w:szCs w:val="32"/>
          <w:lang w:val="en-US" w:eastAsia="zh-CN" w:bidi="ar"/>
        </w:rPr>
        <w:t>请〔</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w:t>
      </w:r>
      <w:r>
        <w:rPr>
          <w:rFonts w:hint="eastAsia" w:hAnsi="方正仿宋_GBK" w:cs="Times New Roman"/>
          <w:color w:val="000000"/>
          <w:kern w:val="2"/>
          <w:sz w:val="32"/>
          <w:szCs w:val="32"/>
          <w:lang w:val="en-US" w:eastAsia="zh-CN" w:bidi="ar"/>
        </w:rPr>
        <w:t>34</w:t>
      </w:r>
      <w:r>
        <w:rPr>
          <w:rFonts w:hint="eastAsia" w:ascii="Times New Roman" w:hAnsi="方正仿宋_GBK" w:eastAsia="方正仿宋_GBK" w:cs="Times New Roman"/>
          <w:color w:val="000000"/>
          <w:kern w:val="2"/>
          <w:sz w:val="32"/>
          <w:szCs w:val="32"/>
          <w:lang w:val="en-US" w:eastAsia="zh-CN" w:bidi="ar"/>
        </w:rPr>
        <w:t>号）收悉，</w:t>
      </w:r>
      <w:r>
        <w:rPr>
          <w:rFonts w:hint="eastAsia" w:hAnsi="方正仿宋_GBK" w:cs="Times New Roman"/>
          <w:color w:val="000000"/>
          <w:kern w:val="2"/>
          <w:sz w:val="32"/>
          <w:szCs w:val="32"/>
          <w:lang w:val="en-US" w:eastAsia="zh-CN" w:bidi="ar"/>
        </w:rPr>
        <w:t>2023年10月12日</w:t>
      </w:r>
      <w:r>
        <w:rPr>
          <w:rFonts w:hint="eastAsia" w:ascii="Times New Roman" w:hAnsi="方正仿宋_GBK" w:eastAsia="方正仿宋_GBK" w:cs="Times New Roman"/>
          <w:color w:val="000000"/>
          <w:kern w:val="2"/>
          <w:sz w:val="32"/>
          <w:szCs w:val="32"/>
          <w:lang w:val="en-US" w:eastAsia="zh-CN" w:bidi="ar"/>
        </w:rPr>
        <w:t>经</w:t>
      </w:r>
      <w:r>
        <w:rPr>
          <w:rFonts w:hint="eastAsia" w:hAnsi="方正仿宋_GBK" w:cs="Times New Roman"/>
          <w:color w:val="000000"/>
          <w:kern w:val="2"/>
          <w:sz w:val="32"/>
          <w:szCs w:val="32"/>
          <w:lang w:val="en-US" w:eastAsia="zh-CN" w:bidi="ar"/>
        </w:rPr>
        <w:t>富源县第十八届</w:t>
      </w:r>
      <w:r>
        <w:rPr>
          <w:rFonts w:hint="eastAsia" w:ascii="Times New Roman" w:hAnsi="方正仿宋_GBK" w:eastAsia="方正仿宋_GBK" w:cs="Times New Roman"/>
          <w:color w:val="000000"/>
          <w:kern w:val="2"/>
          <w:sz w:val="32"/>
          <w:szCs w:val="32"/>
          <w:lang w:val="en-US" w:eastAsia="zh-CN" w:bidi="ar"/>
        </w:rPr>
        <w:t>人民政府</w:t>
      </w:r>
      <w:r>
        <w:rPr>
          <w:rFonts w:hint="eastAsia" w:hAnsi="方正仿宋_GBK" w:cs="Times New Roman"/>
          <w:color w:val="000000"/>
          <w:kern w:val="2"/>
          <w:sz w:val="32"/>
          <w:szCs w:val="32"/>
          <w:lang w:val="en-US" w:eastAsia="zh-CN" w:bidi="ar"/>
        </w:rPr>
        <w:t>2023年第17次常务会议</w:t>
      </w:r>
      <w:r>
        <w:rPr>
          <w:rFonts w:hint="eastAsia" w:ascii="Times New Roman" w:hAnsi="方正仿宋_GBK" w:eastAsia="方正仿宋_GBK" w:cs="Times New Roman"/>
          <w:color w:val="000000"/>
          <w:kern w:val="2"/>
          <w:sz w:val="32"/>
          <w:szCs w:val="32"/>
          <w:lang w:val="en-US" w:eastAsia="zh-CN" w:bidi="ar"/>
        </w:rPr>
        <w:t>研究</w:t>
      </w:r>
      <w:r>
        <w:rPr>
          <w:rFonts w:hint="eastAsia" w:hAnsi="方正仿宋_GBK" w:cs="Times New Roman"/>
          <w:color w:val="000000"/>
          <w:kern w:val="2"/>
          <w:sz w:val="32"/>
          <w:szCs w:val="32"/>
          <w:lang w:val="en-US" w:eastAsia="zh-CN" w:bidi="ar"/>
        </w:rPr>
        <w:t>同意</w:t>
      </w:r>
      <w:r>
        <w:rPr>
          <w:rFonts w:hint="eastAsia" w:ascii="Times New Roman" w:hAnsi="方正仿宋_GBK" w:eastAsia="方正仿宋_GBK" w:cs="Times New Roman"/>
          <w:color w:val="000000"/>
          <w:kern w:val="2"/>
          <w:sz w:val="32"/>
          <w:szCs w:val="32"/>
          <w:lang w:val="en-US" w:eastAsia="zh-CN" w:bidi="ar"/>
        </w:rPr>
        <w:t>，现批复如下：</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Autospacing="0" w:afterAutospacing="0" w:line="600" w:lineRule="exact"/>
        <w:ind w:left="0" w:leftChars="0" w:right="0" w:rightChars="0" w:firstLine="624" w:firstLineChars="200"/>
        <w:jc w:val="both"/>
        <w:textAlignment w:val="auto"/>
        <w:outlineLvl w:val="9"/>
        <w:rPr>
          <w:rFonts w:cs="Times New Roman"/>
          <w:color w:val="000000"/>
          <w:szCs w:val="32"/>
          <w:lang w:val="en-US"/>
        </w:rPr>
      </w:pPr>
      <w:r>
        <w:rPr>
          <w:rFonts w:hint="eastAsia" w:ascii="Times New Roman" w:hAnsi="方正仿宋_GBK" w:eastAsia="方正仿宋_GBK" w:cs="Times New Roman"/>
          <w:color w:val="000000"/>
          <w:kern w:val="2"/>
          <w:sz w:val="32"/>
          <w:szCs w:val="32"/>
          <w:lang w:val="en-US" w:eastAsia="zh-CN" w:bidi="ar"/>
        </w:rPr>
        <w:t>原则同意实施</w:t>
      </w:r>
      <w:r>
        <w:rPr>
          <w:rFonts w:hint="default" w:ascii="Times New Roman" w:hAnsi="Times New Roman" w:eastAsia="方正仿宋_GBK" w:cs="Times New Roman"/>
          <w:color w:val="000000"/>
          <w:kern w:val="2"/>
          <w:sz w:val="32"/>
          <w:szCs w:val="32"/>
          <w:lang w:val="en-US" w:eastAsia="zh-CN" w:bidi="ar"/>
        </w:rPr>
        <w:t>2023</w:t>
      </w:r>
      <w:r>
        <w:rPr>
          <w:rFonts w:hint="eastAsia" w:ascii="Times New Roman" w:hAnsi="方正仿宋_GBK" w:eastAsia="方正仿宋_GBK" w:cs="Times New Roman"/>
          <w:color w:val="000000"/>
          <w:kern w:val="2"/>
          <w:sz w:val="32"/>
          <w:szCs w:val="32"/>
          <w:lang w:val="en-US" w:eastAsia="zh-CN" w:bidi="ar"/>
        </w:rPr>
        <w:t>年正向激励资金和项目结余资金农业产业项目建设。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600" w:lineRule="exact"/>
        <w:ind w:left="0" w:leftChars="0" w:right="0" w:rightChars="0" w:firstLine="624" w:firstLineChars="200"/>
        <w:jc w:val="both"/>
        <w:textAlignment w:val="auto"/>
        <w:rPr>
          <w:rFonts w:hint="eastAsia" w:ascii="Times New Roman" w:hAnsi="方正仿宋_GBK" w:eastAsia="方正仿宋_GBK" w:cs="方正仿宋_GBK"/>
          <w:kern w:val="2"/>
          <w:sz w:val="32"/>
          <w:szCs w:val="32"/>
          <w:lang w:val="en-US" w:eastAsia="zh-CN" w:bidi="ar"/>
        </w:rPr>
      </w:pPr>
      <w:r>
        <w:rPr>
          <w:rFonts w:hint="eastAsia" w:ascii="Times New Roman" w:hAnsi="方正仿宋_GBK" w:eastAsia="方正仿宋_GBK" w:cs="Times New Roman"/>
          <w:color w:val="000000"/>
          <w:kern w:val="2"/>
          <w:sz w:val="32"/>
          <w:szCs w:val="32"/>
          <w:lang w:val="en-US" w:eastAsia="zh-CN" w:bidi="ar"/>
        </w:rPr>
        <w:t>二、</w:t>
      </w:r>
      <w:r>
        <w:rPr>
          <w:rFonts w:hint="eastAsia" w:hAnsi="方正仿宋_GBK" w:cs="Times New Roman"/>
          <w:color w:val="000000"/>
          <w:kern w:val="2"/>
          <w:sz w:val="32"/>
          <w:szCs w:val="32"/>
          <w:lang w:val="en-US" w:eastAsia="zh-CN" w:bidi="ar"/>
        </w:rPr>
        <w:t>县农业农村局</w:t>
      </w:r>
      <w:r>
        <w:rPr>
          <w:rFonts w:hint="eastAsia" w:ascii="Times New Roman" w:hAnsi="方正仿宋_GBK" w:eastAsia="方正仿宋_GBK" w:cs="Times New Roman"/>
          <w:color w:val="000000"/>
          <w:kern w:val="2"/>
          <w:sz w:val="32"/>
          <w:szCs w:val="32"/>
          <w:lang w:val="en-US" w:eastAsia="zh-CN" w:bidi="ar"/>
        </w:rPr>
        <w:t>要加强指导、压实责任，严格督促项目实施单位按照项目计划组织实施，确保</w:t>
      </w:r>
      <w:r>
        <w:rPr>
          <w:rFonts w:hint="eastAsia" w:hAnsi="方正仿宋_GBK" w:cs="Times New Roman"/>
          <w:color w:val="000000"/>
          <w:kern w:val="2"/>
          <w:sz w:val="32"/>
          <w:szCs w:val="32"/>
          <w:lang w:val="en-US" w:eastAsia="zh-CN" w:bidi="ar"/>
        </w:rPr>
        <w:t>5个</w:t>
      </w:r>
      <w:r>
        <w:rPr>
          <w:rFonts w:hint="eastAsia" w:ascii="Times New Roman" w:hAnsi="方正仿宋_GBK" w:eastAsia="方正仿宋_GBK" w:cs="Times New Roman"/>
          <w:color w:val="000000"/>
          <w:kern w:val="2"/>
          <w:sz w:val="32"/>
          <w:szCs w:val="32"/>
          <w:lang w:val="en-US" w:eastAsia="zh-CN" w:bidi="ar"/>
        </w:rPr>
        <w:t>项目有序开工、快速推进，尽早发挥效益。</w:t>
      </w:r>
      <w:r>
        <w:rPr>
          <w:rFonts w:hint="eastAsia" w:ascii="Times New Roman" w:hAnsi="方正仿宋_GBK" w:eastAsia="方正仿宋_GBK" w:cs="方正仿宋_GBK"/>
          <w:kern w:val="2"/>
          <w:sz w:val="32"/>
          <w:szCs w:val="32"/>
          <w:lang w:val="en-US" w:eastAsia="zh-CN" w:bidi="ar"/>
        </w:rPr>
        <w:t>县财政局、县乡村振兴局要加强项目资金监管，确保项目资金安全、高效。</w:t>
      </w:r>
    </w:p>
    <w:p>
      <w:pPr>
        <w:pStyle w:val="2"/>
        <w:keepNext w:val="0"/>
        <w:keepLines w:val="0"/>
        <w:pageBreakBefore w:val="0"/>
        <w:widowControl w:val="0"/>
        <w:kinsoku/>
        <w:wordWrap/>
        <w:overflowPunct/>
        <w:topLinePunct w:val="0"/>
        <w:autoSpaceDN/>
        <w:bidi w:val="0"/>
        <w:adjustRightInd/>
        <w:snapToGrid/>
        <w:spacing w:line="600" w:lineRule="exact"/>
        <w:ind w:left="0" w:leftChars="0" w:right="0" w:righ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N/>
        <w:bidi w:val="0"/>
        <w:adjustRightInd/>
        <w:snapToGrid/>
        <w:spacing w:line="600" w:lineRule="exact"/>
        <w:ind w:left="1560" w:leftChars="200" w:right="0" w:rightChars="0" w:hanging="936" w:hangingChars="3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附件</w:t>
      </w:r>
      <w:r>
        <w:rPr>
          <w:rFonts w:hint="eastAsia" w:ascii="Times New Roman" w:hAnsi="Times New Roman" w:cs="Times New Roman"/>
          <w:sz w:val="32"/>
          <w:szCs w:val="32"/>
          <w:lang w:val="en-US" w:eastAsia="zh-CN"/>
        </w:rPr>
        <w:t>：富源县2023年正向激励资金和项目结余资金农业产业项目规划表</w:t>
      </w:r>
    </w:p>
    <w:p>
      <w:pPr>
        <w:pStyle w:val="2"/>
        <w:keepNext w:val="0"/>
        <w:keepLines w:val="0"/>
        <w:pageBreakBefore w:val="0"/>
        <w:widowControl w:val="0"/>
        <w:kinsoku/>
        <w:wordWrap/>
        <w:overflowPunct/>
        <w:topLinePunct w:val="0"/>
        <w:autoSpaceDN/>
        <w:bidi w:val="0"/>
        <w:adjustRightInd/>
        <w:snapToGrid/>
        <w:spacing w:line="600" w:lineRule="exact"/>
        <w:ind w:left="0" w:leftChars="0" w:right="0" w:rightChars="0"/>
        <w:textAlignment w:val="auto"/>
        <w:rPr>
          <w:lang w:val="en-US"/>
        </w:rPr>
      </w:pPr>
    </w:p>
    <w:p>
      <w:pPr>
        <w:keepNext w:val="0"/>
        <w:keepLines w:val="0"/>
        <w:pageBreakBefore w:val="0"/>
        <w:widowControl w:val="0"/>
        <w:kinsoku/>
        <w:wordWrap/>
        <w:overflowPunct/>
        <w:topLinePunct w:val="0"/>
        <w:autoSpaceDN/>
        <w:bidi w:val="0"/>
        <w:adjustRightInd/>
        <w:snapToGrid/>
        <w:spacing w:line="600" w:lineRule="exact"/>
        <w:ind w:left="0" w:leftChars="0" w:right="0" w:rightChars="0"/>
        <w:textAlignment w:val="auto"/>
        <w:rPr>
          <w:lang w:val="en-US"/>
        </w:rPr>
      </w:pPr>
    </w:p>
    <w:p>
      <w:pPr>
        <w:pStyle w:val="2"/>
        <w:keepNext w:val="0"/>
        <w:keepLines w:val="0"/>
        <w:pageBreakBefore w:val="0"/>
        <w:widowControl w:val="0"/>
        <w:kinsoku/>
        <w:wordWrap/>
        <w:overflowPunct/>
        <w:topLinePunct w:val="0"/>
        <w:autoSpaceDN/>
        <w:bidi w:val="0"/>
        <w:adjustRightInd/>
        <w:snapToGrid/>
        <w:spacing w:line="600" w:lineRule="exact"/>
        <w:ind w:left="0" w:leftChars="0" w:right="0" w:rightChars="0"/>
        <w:textAlignment w:val="auto"/>
        <w:rPr>
          <w:lang w:val="en-US"/>
        </w:rPr>
      </w:pP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Autospacing="0" w:afterAutospacing="0" w:line="600" w:lineRule="exact"/>
        <w:ind w:left="0" w:leftChars="0" w:right="0" w:rightChars="0" w:firstLine="4992" w:firstLineChars="1600"/>
        <w:jc w:val="both"/>
        <w:textAlignment w:val="auto"/>
        <w:outlineLvl w:val="9"/>
        <w:rPr>
          <w:rFonts w:cs="Times New Roman"/>
          <w:szCs w:val="32"/>
          <w:lang w:val="en-US"/>
        </w:rPr>
      </w:pPr>
      <w:r>
        <w:rPr>
          <w:rFonts w:hint="eastAsia" w:ascii="Times New Roman" w:hAnsi="方正仿宋_GBK" w:eastAsia="方正仿宋_GBK" w:cs="Times New Roman"/>
          <w:kern w:val="2"/>
          <w:sz w:val="32"/>
          <w:szCs w:val="32"/>
          <w:lang w:val="en-US" w:eastAsia="zh-CN" w:bidi="ar"/>
        </w:rPr>
        <w:t>富源县人民政府</w:t>
      </w:r>
    </w:p>
    <w:p>
      <w:pPr>
        <w:keepNext w:val="0"/>
        <w:keepLines w:val="0"/>
        <w:pageBreakBefore w:val="0"/>
        <w:widowControl w:val="0"/>
        <w:suppressLineNumbers w:val="0"/>
        <w:tabs>
          <w:tab w:val="left" w:pos="623"/>
        </w:tabs>
        <w:kinsoku/>
        <w:wordWrap/>
        <w:overflowPunct/>
        <w:topLinePunct w:val="0"/>
        <w:autoSpaceDE/>
        <w:autoSpaceDN/>
        <w:bidi w:val="0"/>
        <w:adjustRightInd/>
        <w:snapToGrid/>
        <w:spacing w:beforeAutospacing="0" w:afterAutospacing="0" w:line="600" w:lineRule="exact"/>
        <w:ind w:left="0" w:leftChars="0" w:right="0" w:rightChars="0" w:firstLine="4992" w:firstLineChars="1600"/>
        <w:jc w:val="both"/>
        <w:textAlignment w:val="auto"/>
        <w:outlineLvl w:val="9"/>
        <w:rPr>
          <w:rFonts w:hint="eastAsia" w:ascii="Times New Roman" w:hAnsi="方正仿宋_GBK" w:eastAsia="方正仿宋_GBK" w:cs="Times New Roman"/>
          <w:kern w:val="2"/>
          <w:sz w:val="32"/>
          <w:szCs w:val="32"/>
          <w:lang w:val="en-US" w:eastAsia="zh-CN" w:bidi="ar"/>
        </w:rPr>
        <w:sectPr>
          <w:footerReference r:id="rId3" w:type="default"/>
          <w:footerReference r:id="rId4" w:type="even"/>
          <w:pgSz w:w="11906" w:h="16838"/>
          <w:pgMar w:top="1871" w:right="1588" w:bottom="1757" w:left="1588" w:header="851" w:footer="1134" w:gutter="0"/>
          <w:pgBorders>
            <w:top w:val="none" w:sz="0" w:space="0"/>
            <w:left w:val="none" w:sz="0" w:space="0"/>
            <w:bottom w:val="none" w:sz="0" w:space="0"/>
            <w:right w:val="none" w:sz="0" w:space="0"/>
          </w:pgBorders>
          <w:cols w:space="0" w:num="1"/>
          <w:rtlGutter w:val="0"/>
          <w:docGrid w:type="linesAndChars" w:linePitch="600" w:charSpace="-1683"/>
        </w:sectPr>
      </w:pPr>
      <w:r>
        <w:rPr>
          <w:rFonts w:hint="default" w:ascii="Times New Roman" w:hAnsi="Times New Roman" w:eastAsia="方正仿宋_GBK" w:cs="Times New Roman"/>
          <w:kern w:val="2"/>
          <w:sz w:val="32"/>
          <w:szCs w:val="32"/>
          <w:lang w:val="en-US" w:eastAsia="zh-CN" w:bidi="ar"/>
        </w:rPr>
        <w:t>2023</w:t>
      </w:r>
      <w:r>
        <w:rPr>
          <w:rFonts w:hint="eastAsia" w:ascii="Times New Roman" w:hAnsi="方正仿宋_GBK" w:eastAsia="方正仿宋_GBK" w:cs="Times New Roman"/>
          <w:kern w:val="2"/>
          <w:sz w:val="32"/>
          <w:szCs w:val="32"/>
          <w:lang w:val="en-US" w:eastAsia="zh-CN" w:bidi="ar"/>
        </w:rPr>
        <w:t>年</w:t>
      </w:r>
      <w:r>
        <w:rPr>
          <w:rFonts w:hint="eastAsia" w:hAnsi="方正仿宋_GBK" w:cs="Times New Roman"/>
          <w:kern w:val="2"/>
          <w:sz w:val="32"/>
          <w:szCs w:val="32"/>
          <w:lang w:val="en-US" w:eastAsia="zh-CN" w:bidi="ar"/>
        </w:rPr>
        <w:t>10</w:t>
      </w:r>
      <w:r>
        <w:rPr>
          <w:rFonts w:hint="eastAsia" w:ascii="Times New Roman" w:hAnsi="方正仿宋_GBK" w:eastAsia="方正仿宋_GBK" w:cs="Times New Roman"/>
          <w:kern w:val="2"/>
          <w:sz w:val="32"/>
          <w:szCs w:val="32"/>
          <w:lang w:val="en-US" w:eastAsia="zh-CN" w:bidi="ar"/>
        </w:rPr>
        <w:t>月</w:t>
      </w:r>
      <w:r>
        <w:rPr>
          <w:rFonts w:hint="eastAsia" w:hAnsi="方正仿宋_GBK" w:cs="Times New Roman"/>
          <w:kern w:val="2"/>
          <w:sz w:val="32"/>
          <w:szCs w:val="32"/>
          <w:lang w:val="en-US" w:eastAsia="zh-CN" w:bidi="ar"/>
        </w:rPr>
        <w:t>18</w:t>
      </w:r>
      <w:r>
        <w:rPr>
          <w:rFonts w:hint="eastAsia" w:ascii="Times New Roman" w:hAnsi="方正仿宋_GBK" w:eastAsia="方正仿宋_GBK" w:cs="Times New Roman"/>
          <w:kern w:val="2"/>
          <w:sz w:val="32"/>
          <w:szCs w:val="32"/>
          <w:lang w:val="en-US" w:eastAsia="zh-CN" w:bidi="ar"/>
        </w:rPr>
        <w:t>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i w:val="0"/>
          <w:color w:val="000000"/>
          <w:kern w:val="0"/>
          <w:sz w:val="44"/>
          <w:szCs w:val="44"/>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富源县2023年正向激励资金和项目结余资金农业产业项目规划表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624" w:firstLineChars="200"/>
        <w:jc w:val="both"/>
        <w:textAlignment w:val="auto"/>
        <w:outlineLvl w:val="9"/>
        <w:rPr>
          <w:lang w:val="en-US"/>
        </w:rPr>
      </w:pPr>
    </w:p>
    <w:tbl>
      <w:tblPr>
        <w:tblStyle w:val="4"/>
        <w:tblW w:w="15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94"/>
        <w:gridCol w:w="846"/>
        <w:gridCol w:w="1180"/>
        <w:gridCol w:w="931"/>
        <w:gridCol w:w="992"/>
        <w:gridCol w:w="952"/>
        <w:gridCol w:w="2432"/>
        <w:gridCol w:w="935"/>
        <w:gridCol w:w="1222"/>
        <w:gridCol w:w="936"/>
        <w:gridCol w:w="859"/>
        <w:gridCol w:w="1135"/>
        <w:gridCol w:w="1172"/>
        <w:gridCol w:w="1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6" w:hRule="atLeast"/>
          <w:jc w:val="center"/>
        </w:trPr>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序号</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项目组织实施责任单位</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Style w:val="7"/>
                <w:rFonts w:hint="eastAsia" w:ascii="方正黑体_GBK" w:hAnsi="方正黑体_GBK" w:eastAsia="方正黑体_GBK" w:cs="方正黑体_GBK"/>
                <w:sz w:val="18"/>
                <w:szCs w:val="18"/>
                <w:lang w:val="en-US" w:eastAsia="zh-CN" w:bidi="ar"/>
              </w:rPr>
            </w:pPr>
            <w:r>
              <w:rPr>
                <w:rStyle w:val="7"/>
                <w:rFonts w:hint="eastAsia" w:ascii="方正黑体_GBK" w:hAnsi="方正黑体_GBK" w:eastAsia="方正黑体_GBK" w:cs="方正黑体_GBK"/>
                <w:sz w:val="18"/>
                <w:szCs w:val="18"/>
                <w:lang w:val="en-US" w:eastAsia="zh-CN" w:bidi="ar"/>
              </w:rPr>
              <w:t>项目行业</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主管部门</w:t>
            </w:r>
          </w:p>
        </w:tc>
        <w:tc>
          <w:tcPr>
            <w:tcW w:w="9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项目类型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Style w:val="7"/>
                <w:rFonts w:hint="eastAsia" w:ascii="方正黑体_GBK" w:hAnsi="方正黑体_GBK" w:eastAsia="方正黑体_GBK" w:cs="方正黑体_GBK"/>
                <w:sz w:val="18"/>
                <w:szCs w:val="18"/>
                <w:lang w:val="en-US" w:eastAsia="zh-CN" w:bidi="ar"/>
              </w:rPr>
            </w:pPr>
            <w:r>
              <w:rPr>
                <w:rStyle w:val="7"/>
                <w:rFonts w:hint="eastAsia" w:ascii="方正黑体_GBK" w:hAnsi="方正黑体_GBK" w:eastAsia="方正黑体_GBK" w:cs="方正黑体_GBK"/>
                <w:sz w:val="18"/>
                <w:szCs w:val="18"/>
                <w:lang w:val="en-US" w:eastAsia="zh-CN" w:bidi="ar"/>
              </w:rPr>
              <w:t>二级项目</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类型</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项目子类型</w:t>
            </w:r>
          </w:p>
        </w:tc>
        <w:tc>
          <w:tcPr>
            <w:tcW w:w="2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项目名称</w:t>
            </w:r>
          </w:p>
        </w:tc>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建设性质</w:t>
            </w:r>
            <w:r>
              <w:rPr>
                <w:rStyle w:val="8"/>
                <w:rFonts w:hint="eastAsia" w:ascii="方正黑体_GBK" w:hAnsi="方正黑体_GBK" w:eastAsia="方正黑体_GBK" w:cs="方正黑体_GBK"/>
                <w:sz w:val="18"/>
                <w:szCs w:val="18"/>
                <w:lang w:val="en-US" w:eastAsia="zh-CN" w:bidi="ar"/>
              </w:rPr>
              <w:t>（新建、续建）</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项目实施地点</w:t>
            </w:r>
          </w:p>
        </w:tc>
        <w:tc>
          <w:tcPr>
            <w:tcW w:w="2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项目预算总投资（万元）</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项目预计</w:t>
            </w:r>
            <w:r>
              <w:rPr>
                <w:rFonts w:hint="eastAsia" w:ascii="方正黑体_GBK" w:hAnsi="方正黑体_GBK" w:eastAsia="方正黑体_GBK" w:cs="方正黑体_GBK"/>
                <w:i w:val="0"/>
                <w:color w:val="000000"/>
                <w:kern w:val="0"/>
                <w:sz w:val="18"/>
                <w:szCs w:val="18"/>
                <w:u w:val="none"/>
                <w:lang w:val="en-US" w:eastAsia="zh-CN" w:bidi="ar"/>
              </w:rPr>
              <w:br w:type="textWrapping"/>
            </w:r>
            <w:r>
              <w:rPr>
                <w:rFonts w:hint="eastAsia" w:ascii="方正黑体_GBK" w:hAnsi="方正黑体_GBK" w:eastAsia="方正黑体_GBK" w:cs="方正黑体_GBK"/>
                <w:i w:val="0"/>
                <w:color w:val="000000"/>
                <w:kern w:val="0"/>
                <w:sz w:val="18"/>
                <w:szCs w:val="18"/>
                <w:u w:val="none"/>
                <w:lang w:val="en-US" w:eastAsia="zh-CN" w:bidi="ar"/>
              </w:rPr>
              <w:t>开工时间</w:t>
            </w:r>
          </w:p>
        </w:tc>
        <w:tc>
          <w:tcPr>
            <w:tcW w:w="10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18"/>
                <w:szCs w:val="18"/>
                <w:u w:val="none"/>
                <w:lang w:val="en-US" w:eastAsia="zh-CN" w:bidi="ar"/>
              </w:rPr>
            </w:pPr>
            <w:r>
              <w:rPr>
                <w:rFonts w:hint="eastAsia" w:ascii="方正黑体_GBK" w:hAnsi="方正黑体_GBK" w:eastAsia="方正黑体_GBK" w:cs="方正黑体_GBK"/>
                <w:i w:val="0"/>
                <w:color w:val="000000"/>
                <w:kern w:val="0"/>
                <w:sz w:val="18"/>
                <w:szCs w:val="18"/>
                <w:u w:val="none"/>
                <w:lang w:val="en-US" w:eastAsia="zh-CN" w:bidi="ar"/>
              </w:rPr>
              <w:t>项目预计</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完工时间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7" w:hRule="atLeast"/>
          <w:jc w:val="center"/>
        </w:trPr>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9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2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Style w:val="7"/>
                <w:rFonts w:hint="eastAsia" w:ascii="方正黑体_GBK" w:hAnsi="方正黑体_GBK" w:eastAsia="方正黑体_GBK" w:cs="方正黑体_GBK"/>
                <w:sz w:val="18"/>
                <w:szCs w:val="18"/>
                <w:lang w:val="en-US" w:eastAsia="zh-CN" w:bidi="ar"/>
              </w:rPr>
              <w:t>小</w:t>
            </w:r>
            <w:r>
              <w:rPr>
                <w:rStyle w:val="9"/>
                <w:rFonts w:hint="eastAsia" w:ascii="方正黑体_GBK" w:hAnsi="方正黑体_GBK" w:eastAsia="方正黑体_GBK" w:cs="方正黑体_GBK"/>
                <w:sz w:val="18"/>
                <w:szCs w:val="18"/>
                <w:lang w:val="en-US" w:eastAsia="zh-CN" w:bidi="ar"/>
              </w:rPr>
              <w:t xml:space="preserve">  </w:t>
            </w:r>
            <w:r>
              <w:rPr>
                <w:rStyle w:val="7"/>
                <w:rFonts w:hint="eastAsia" w:ascii="方正黑体_GBK" w:hAnsi="方正黑体_GBK" w:eastAsia="方正黑体_GBK" w:cs="方正黑体_GBK"/>
                <w:sz w:val="18"/>
                <w:szCs w:val="18"/>
                <w:lang w:val="en-US" w:eastAsia="zh-CN" w:bidi="ar"/>
              </w:rPr>
              <w:t>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中央资金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sz w:val="18"/>
                <w:szCs w:val="18"/>
                <w:u w:val="none"/>
              </w:rPr>
            </w:pPr>
            <w:r>
              <w:rPr>
                <w:rFonts w:hint="eastAsia" w:ascii="方正黑体_GBK" w:hAnsi="方正黑体_GBK" w:eastAsia="方正黑体_GBK" w:cs="方正黑体_GBK"/>
                <w:i w:val="0"/>
                <w:color w:val="000000"/>
                <w:kern w:val="0"/>
                <w:sz w:val="18"/>
                <w:szCs w:val="18"/>
                <w:u w:val="none"/>
                <w:lang w:val="en-US" w:eastAsia="zh-CN" w:bidi="ar"/>
              </w:rPr>
              <w:t>省级资金</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c>
          <w:tcPr>
            <w:tcW w:w="10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方正黑体_GBK" w:hAnsi="方正黑体_GBK" w:eastAsia="方正黑体_GBK" w:cs="方正黑体_GBK"/>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6" w:hRule="atLeast"/>
          <w:jc w:val="center"/>
        </w:trPr>
        <w:tc>
          <w:tcPr>
            <w:tcW w:w="10084" w:type="dxa"/>
            <w:gridSpan w:val="9"/>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b/>
                <w:i w:val="0"/>
                <w:color w:val="000000"/>
                <w:sz w:val="18"/>
                <w:szCs w:val="18"/>
                <w:u w:val="none"/>
              </w:rPr>
            </w:pPr>
            <w:r>
              <w:rPr>
                <w:rFonts w:hint="default" w:ascii="Times New Roman" w:hAnsi="Times New Roman" w:eastAsia="方正仿宋_GBK" w:cs="Times New Roman"/>
                <w:b/>
                <w:i w:val="0"/>
                <w:color w:val="000000"/>
                <w:kern w:val="0"/>
                <w:sz w:val="18"/>
                <w:szCs w:val="18"/>
                <w:u w:val="none"/>
                <w:lang w:val="en-US" w:eastAsia="zh-CN" w:bidi="ar"/>
              </w:rPr>
              <w:t>一、农业产业项目小计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593.129</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593.129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b/>
                <w:i w:val="0"/>
                <w:color w:val="000000"/>
                <w:sz w:val="18"/>
                <w:szCs w:val="18"/>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中安街道办事处</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富源县农业农村局</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产业发展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加工流通项目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加工业</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中安街道海坪社区农产品初加工项目</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新建</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18"/>
                <w:szCs w:val="18"/>
                <w:u w:val="none"/>
                <w:lang w:val="en-US" w:eastAsia="zh-CN" w:bidi="ar"/>
              </w:rPr>
            </w:pPr>
            <w:r>
              <w:rPr>
                <w:rFonts w:hint="default" w:ascii="Times New Roman" w:hAnsi="Times New Roman" w:eastAsia="方正仿宋_GBK" w:cs="Times New Roman"/>
                <w:i w:val="0"/>
                <w:color w:val="000000"/>
                <w:kern w:val="0"/>
                <w:sz w:val="18"/>
                <w:szCs w:val="18"/>
                <w:u w:val="none"/>
                <w:lang w:val="en-US" w:eastAsia="zh-CN" w:bidi="ar"/>
              </w:rPr>
              <w:t>中安街道海坪</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社区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93.129</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93.129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73"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胜境街道办事处</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富源县农业农村局</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产业发展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加工流通项目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加工业</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富源县聚农核桃种植农民专业合作社核桃水代生态取油制粉生产线及配套设施项目</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新建</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胜境街道四屯社区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墨红镇人民政府</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富源县农业农村局</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产业发展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生产项目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种植业基地</w:t>
            </w:r>
          </w:p>
        </w:tc>
        <w:tc>
          <w:tcPr>
            <w:tcW w:w="2432"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墨红镇法土林下经济赤松茸种植及配套设施项目</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新建</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墨红镇法土村委会</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0"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大河镇人民政府</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富源县农业农村局</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产业发展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生产项目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种植业基地</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大河镇大河村委会蔬菜产业发展项目</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新建</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大河镇大河村委会</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4" w:hRule="atLeast"/>
          <w:jc w:val="center"/>
        </w:trPr>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5</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黄泥河镇牛额村委会</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富源县农业农村局</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产业发展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加工流通项目</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市场建设和农村物流</w:t>
            </w:r>
          </w:p>
        </w:tc>
        <w:tc>
          <w:tcPr>
            <w:tcW w:w="2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黄泥河镇农产品交易中心（Ⅰ期）建设项目</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新建</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黄泥河镇牛额村委会</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default" w:ascii="Times New Roman" w:hAnsi="Times New Roman" w:eastAsia="方正仿宋_GBK" w:cs="Times New Roman"/>
                <w:i w:val="0"/>
                <w:color w:val="000000"/>
                <w:sz w:val="18"/>
                <w:szCs w:val="18"/>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100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bidi="ar"/>
              </w:rPr>
              <w:t>2023.11</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bookmarkEnd w:id="0"/>
    <w:sectPr>
      <w:footerReference r:id="rId5" w:type="default"/>
      <w:footerReference r:id="rId6" w:type="even"/>
      <w:pgSz w:w="16838" w:h="11906" w:orient="landscape"/>
      <w:pgMar w:top="1587" w:right="1871" w:bottom="1587" w:left="1757" w:header="851" w:footer="850" w:gutter="0"/>
      <w:pgBorders>
        <w:top w:val="none" w:sz="0" w:space="0"/>
        <w:left w:val="none" w:sz="0" w:space="0"/>
        <w:bottom w:val="none" w:sz="0" w:space="0"/>
        <w:right w:val="none" w:sz="0" w:space="0"/>
      </w:pgBorders>
      <w:pgNumType w:fmt="decimal"/>
      <w:cols w:space="0" w:num="1"/>
      <w:titlePg/>
      <w:rtlGutter w:val="0"/>
      <w:docGrid w:type="linesAndChars" w:linePitch="623"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eastAsia="方正仿宋_GBK"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lang w:val="en-US"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center"/>
      <w:rPr>
        <w:rFonts w:hint="default" w:eastAsia="方正仿宋_GBK"/>
        <w:sz w:val="28"/>
        <w:szCs w:val="28"/>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方正仿宋_GBK"/>
        <w:sz w:val="28"/>
        <w:szCs w:val="2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1968D4"/>
    <w:multiLevelType w:val="multilevel"/>
    <w:tmpl w:val="641968D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07B77"/>
    <w:rsid w:val="06111F56"/>
    <w:rsid w:val="1D1414AB"/>
    <w:rsid w:val="22143A9B"/>
    <w:rsid w:val="24F91055"/>
    <w:rsid w:val="339A3E23"/>
    <w:rsid w:val="3F7E6D73"/>
    <w:rsid w:val="49F81249"/>
    <w:rsid w:val="4AB41220"/>
    <w:rsid w:val="62007B77"/>
    <w:rsid w:val="6F6901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宋体" w:hAnsi="宋体" w:cs="宋体"/>
      <w:sz w:val="28"/>
      <w:szCs w:val="28"/>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21"/>
    <w:basedOn w:val="6"/>
    <w:qFormat/>
    <w:uiPriority w:val="0"/>
    <w:rPr>
      <w:rFonts w:ascii="黑体" w:hAnsi="宋体" w:eastAsia="黑体" w:cs="黑体"/>
      <w:color w:val="000000"/>
      <w:sz w:val="20"/>
      <w:szCs w:val="20"/>
      <w:u w:val="none"/>
    </w:rPr>
  </w:style>
  <w:style w:type="character" w:customStyle="1" w:styleId="8">
    <w:name w:val="font11"/>
    <w:basedOn w:val="6"/>
    <w:qFormat/>
    <w:uiPriority w:val="0"/>
    <w:rPr>
      <w:rFonts w:hint="eastAsia" w:ascii="黑体" w:hAnsi="宋体" w:eastAsia="黑体" w:cs="黑体"/>
      <w:color w:val="000000"/>
      <w:sz w:val="16"/>
      <w:szCs w:val="16"/>
      <w:u w:val="none"/>
    </w:rPr>
  </w:style>
  <w:style w:type="character" w:customStyle="1" w:styleId="9">
    <w:name w:val="font14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2023-10-18T08:39:00Z</dcterms:created>
  <dc:creator>Administrator</dc:creator>
  <cp:lastModifiedBy>阿瑾呀</cp:lastModifiedBy>
  <cp:lastPrinted>2023-10-18T09:22:00Z</cp:lastPrinted>
  <dcterms:modified xsi:type="dcterms:W3CDTF">2023-10-23T07:16:34Z</dcterms:modified>
  <dc:title>富政复〔2023〕号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1953C344AD2C4991842B7874150EF861</vt:lpwstr>
  </property>
</Properties>
</file>