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关于下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达202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年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度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宜居宜业和美示范村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农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村道路建设项目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资金的通知</w:t>
      </w:r>
    </w:p>
    <w:p>
      <w:pPr>
        <w:spacing w:line="600" w:lineRule="exact"/>
        <w:rPr>
          <w:rFonts w:ascii="方正小标宋_GBK" w:eastAsia="方正小标宋_GBK" w:cs="方正小标宋_GBK"/>
          <w:spacing w:val="-8"/>
          <w:sz w:val="44"/>
          <w:szCs w:val="44"/>
        </w:rPr>
      </w:pPr>
    </w:p>
    <w:p>
      <w:pPr>
        <w:spacing w:line="68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eastAsia="方正仿宋_GBK" w:cs="Times New Roman"/>
          <w:color w:val="000000" w:themeColor="text1"/>
          <w:sz w:val="32"/>
          <w:szCs w:val="32"/>
          <w:lang w:val="en-US" w:eastAsia="zh-CN"/>
        </w:rPr>
        <w:t>中安街道、胜境街道、后所镇、竹园镇财政所、乡村振兴办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：</w:t>
      </w:r>
    </w:p>
    <w:p>
      <w:pPr>
        <w:spacing w:line="600" w:lineRule="exact"/>
        <w:ind w:firstLine="66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color w:val="000000" w:themeColor="text1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《曲靖市财政局关于下达2023年省级财政衔接推进乡村振兴补助资金（巩固拓展脱贫攻坚成果和乡村振兴任务）的通知》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富源县人民政府关于同意实施宜居宜业和美示范村建设项目的批复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117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2023年度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宜居宜业和美示范村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农村道路建设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项目资金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400</w:t>
      </w:r>
      <w:r>
        <w:rPr>
          <w:rFonts w:ascii="Times New Roman" w:hAnsi="Times New Roman" w:eastAsia="方正仿宋_GBK" w:cs="Times New Roman"/>
          <w:sz w:val="32"/>
          <w:szCs w:val="32"/>
        </w:rPr>
        <w:t>万元下达给你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中：中安街道寨子口社区浒子村宜居宜业和美示范村100万元、胜境街道洗洋塘社区发家村宜居宜业和美示范村100万元、后所镇杨家坟村委会白龙洞村宜居宜业和美示范村100万元、竹园镇茂兰村委会卧得村宜居宜业和美示范村100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此款列入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2023年“2130504—农村基础设施建设”预</w:t>
      </w:r>
      <w:r>
        <w:rPr>
          <w:rFonts w:eastAsia="方正仿宋_GBK"/>
          <w:sz w:val="32"/>
          <w:szCs w:val="32"/>
        </w:rPr>
        <w:t>算支出科目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tabs>
          <w:tab w:val="left" w:pos="782"/>
        </w:tabs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widowControl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富源县财政局　　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富源县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乡村振兴局</w:t>
      </w:r>
    </w:p>
    <w:p>
      <w:pPr>
        <w:wordWrap w:val="0"/>
        <w:spacing w:line="760" w:lineRule="exact"/>
        <w:jc w:val="right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4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23501"/>
    <w:rsid w:val="000F7B12"/>
    <w:rsid w:val="00115447"/>
    <w:rsid w:val="001532F7"/>
    <w:rsid w:val="001965D0"/>
    <w:rsid w:val="002833A5"/>
    <w:rsid w:val="002A337C"/>
    <w:rsid w:val="002B632A"/>
    <w:rsid w:val="00302054"/>
    <w:rsid w:val="00337A4B"/>
    <w:rsid w:val="00380196"/>
    <w:rsid w:val="00381437"/>
    <w:rsid w:val="003B2293"/>
    <w:rsid w:val="00422F18"/>
    <w:rsid w:val="00424A78"/>
    <w:rsid w:val="00450683"/>
    <w:rsid w:val="00453BE5"/>
    <w:rsid w:val="004A242C"/>
    <w:rsid w:val="005105E3"/>
    <w:rsid w:val="00595AB3"/>
    <w:rsid w:val="0059768E"/>
    <w:rsid w:val="005C4863"/>
    <w:rsid w:val="006215C6"/>
    <w:rsid w:val="00625968"/>
    <w:rsid w:val="0065464F"/>
    <w:rsid w:val="00694981"/>
    <w:rsid w:val="00696920"/>
    <w:rsid w:val="006A26BD"/>
    <w:rsid w:val="00704744"/>
    <w:rsid w:val="00715200"/>
    <w:rsid w:val="00715268"/>
    <w:rsid w:val="007445E9"/>
    <w:rsid w:val="0075199A"/>
    <w:rsid w:val="00784C17"/>
    <w:rsid w:val="00795C1F"/>
    <w:rsid w:val="007F542B"/>
    <w:rsid w:val="008166CF"/>
    <w:rsid w:val="0081682F"/>
    <w:rsid w:val="00816D7B"/>
    <w:rsid w:val="0084309C"/>
    <w:rsid w:val="00850D8D"/>
    <w:rsid w:val="0085551F"/>
    <w:rsid w:val="00882668"/>
    <w:rsid w:val="008D462B"/>
    <w:rsid w:val="008D727E"/>
    <w:rsid w:val="008F7621"/>
    <w:rsid w:val="00932082"/>
    <w:rsid w:val="00946D96"/>
    <w:rsid w:val="00962E38"/>
    <w:rsid w:val="00967FD5"/>
    <w:rsid w:val="0097752F"/>
    <w:rsid w:val="009D7A3F"/>
    <w:rsid w:val="009E30C8"/>
    <w:rsid w:val="009F0B96"/>
    <w:rsid w:val="00A67EDC"/>
    <w:rsid w:val="00A86BAE"/>
    <w:rsid w:val="00AE35C0"/>
    <w:rsid w:val="00B114AB"/>
    <w:rsid w:val="00B60538"/>
    <w:rsid w:val="00B77C22"/>
    <w:rsid w:val="00B84670"/>
    <w:rsid w:val="00C1301E"/>
    <w:rsid w:val="00C41323"/>
    <w:rsid w:val="00C464F7"/>
    <w:rsid w:val="00C80440"/>
    <w:rsid w:val="00C82575"/>
    <w:rsid w:val="00CB3EC5"/>
    <w:rsid w:val="00CB3EF4"/>
    <w:rsid w:val="00CC108F"/>
    <w:rsid w:val="00D20C7D"/>
    <w:rsid w:val="00D7600C"/>
    <w:rsid w:val="00DA43FA"/>
    <w:rsid w:val="00DC2CD9"/>
    <w:rsid w:val="00DF5056"/>
    <w:rsid w:val="00E15371"/>
    <w:rsid w:val="00E20E80"/>
    <w:rsid w:val="00E929CC"/>
    <w:rsid w:val="00ED6713"/>
    <w:rsid w:val="00EE573A"/>
    <w:rsid w:val="00EE73E0"/>
    <w:rsid w:val="00F12D7B"/>
    <w:rsid w:val="00FB721A"/>
    <w:rsid w:val="03031FA2"/>
    <w:rsid w:val="03271FBB"/>
    <w:rsid w:val="06A46C72"/>
    <w:rsid w:val="088C4BE3"/>
    <w:rsid w:val="0E231EC4"/>
    <w:rsid w:val="138162BE"/>
    <w:rsid w:val="17A34446"/>
    <w:rsid w:val="18CF34D1"/>
    <w:rsid w:val="1B8A3756"/>
    <w:rsid w:val="20956040"/>
    <w:rsid w:val="22911C28"/>
    <w:rsid w:val="25596C27"/>
    <w:rsid w:val="25BC70A8"/>
    <w:rsid w:val="28384A19"/>
    <w:rsid w:val="28413267"/>
    <w:rsid w:val="2A352DC5"/>
    <w:rsid w:val="2BB24A17"/>
    <w:rsid w:val="2C5A1067"/>
    <w:rsid w:val="31BD0508"/>
    <w:rsid w:val="3210234F"/>
    <w:rsid w:val="324230B4"/>
    <w:rsid w:val="326E5A4B"/>
    <w:rsid w:val="3634046F"/>
    <w:rsid w:val="366F1802"/>
    <w:rsid w:val="3AAC1E33"/>
    <w:rsid w:val="3D60781F"/>
    <w:rsid w:val="3D615D72"/>
    <w:rsid w:val="3DD24A09"/>
    <w:rsid w:val="3EB3501B"/>
    <w:rsid w:val="424122F2"/>
    <w:rsid w:val="46364FCD"/>
    <w:rsid w:val="46432792"/>
    <w:rsid w:val="46AF5B0E"/>
    <w:rsid w:val="48BB68A1"/>
    <w:rsid w:val="4A131285"/>
    <w:rsid w:val="4B9A78EA"/>
    <w:rsid w:val="50635FD0"/>
    <w:rsid w:val="531F46D5"/>
    <w:rsid w:val="571B7062"/>
    <w:rsid w:val="57B15559"/>
    <w:rsid w:val="57E042D5"/>
    <w:rsid w:val="5B7C36C2"/>
    <w:rsid w:val="5BA7372A"/>
    <w:rsid w:val="5E1D7E46"/>
    <w:rsid w:val="5ED30D4D"/>
    <w:rsid w:val="5F6316B3"/>
    <w:rsid w:val="5FBF78AD"/>
    <w:rsid w:val="60983788"/>
    <w:rsid w:val="60EB67C2"/>
    <w:rsid w:val="61DD3BF1"/>
    <w:rsid w:val="683F08DD"/>
    <w:rsid w:val="6CDE03DC"/>
    <w:rsid w:val="6EB8209E"/>
    <w:rsid w:val="6EBB6E85"/>
    <w:rsid w:val="72172F11"/>
    <w:rsid w:val="73EC3709"/>
    <w:rsid w:val="743F7349"/>
    <w:rsid w:val="776027A9"/>
    <w:rsid w:val="78C241C3"/>
    <w:rsid w:val="79F05F63"/>
    <w:rsid w:val="7E950D27"/>
    <w:rsid w:val="7F7428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paragraph" w:customStyle="1" w:styleId="9">
    <w:name w:val="Heading1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17</Pages>
  <Words>6462</Words>
  <Characters>8406</Characters>
  <Lines>10</Lines>
  <Paragraphs>2</Paragraphs>
  <TotalTime>0</TotalTime>
  <ScaleCrop>false</ScaleCrop>
  <LinksUpToDate>false</LinksUpToDate>
  <CharactersWithSpaces>8813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2023-07-27T08:16:00Z</cp:lastPrinted>
  <dcterms:modified xsi:type="dcterms:W3CDTF">2023-08-16T06:48:02Z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8D5185E62671408AA5A41C5C23491F69</vt:lpwstr>
  </property>
</Properties>
</file>