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102"/>
        <w:gridCol w:w="1093"/>
        <w:gridCol w:w="1100"/>
        <w:gridCol w:w="1730"/>
        <w:gridCol w:w="1199"/>
        <w:gridCol w:w="25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9255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>富源魔芋精深加工及研发基地建设项目绩效目标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28"/>
                <w:szCs w:val="28"/>
                <w:lang w:bidi="ar"/>
              </w:rPr>
              <w:t>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255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widowControl/>
              <w:spacing w:line="2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  <w:t xml:space="preserve">项目单位（签章）：胜境街道办事处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  <w:t>项目名称</w:t>
            </w:r>
          </w:p>
        </w:tc>
        <w:tc>
          <w:tcPr>
            <w:tcW w:w="2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富源魔芋精深加工及研发基地建设项目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  <w:t>项目负责人及联系电话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刘渊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139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*****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124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  <w:t>主管部门</w:t>
            </w:r>
          </w:p>
        </w:tc>
        <w:tc>
          <w:tcPr>
            <w:tcW w:w="2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  <w:t>富源县农业农村局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  <w:t>实施单位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富源县胜境街道办事处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159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  <w:t>资金情况</w:t>
            </w: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  <w:t>（万元）</w:t>
            </w:r>
          </w:p>
        </w:tc>
        <w:tc>
          <w:tcPr>
            <w:tcW w:w="2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  <w:t>年度资金总额</w:t>
            </w:r>
          </w:p>
        </w:tc>
        <w:tc>
          <w:tcPr>
            <w:tcW w:w="54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15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  <w:t>其中财政拨款</w:t>
            </w:r>
          </w:p>
        </w:tc>
        <w:tc>
          <w:tcPr>
            <w:tcW w:w="54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5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bidi="ar"/>
              </w:rPr>
              <w:t>其他资金</w:t>
            </w:r>
          </w:p>
        </w:tc>
        <w:tc>
          <w:tcPr>
            <w:tcW w:w="54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总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体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目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标</w:t>
            </w:r>
          </w:p>
        </w:tc>
        <w:tc>
          <w:tcPr>
            <w:tcW w:w="87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年度目标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7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一.车间建设2150㎡（1.研发中心建设400㎡；2.酥饼车间建设350㎡；3.魔芋素食车间建设450㎡；4.仓储建设500㎡；5.包装、周转间建设450㎡）；二.车间设备购置安装（1.酥饼生产设备购置安装8台套；2.素食生产设备（膨化罐2套、成型槽1套、全自动灭菌设备购置安装1套）；3.用水、用电、用汽配套购置建设；4.打码机1套；5.货运提升机购置安装1套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标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一级指标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二级指标</w:t>
            </w: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三级指标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产出指标</w:t>
            </w: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数量指标</w:t>
            </w: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研发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车间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400㎡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酥饼车间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vertAlign w:val="superscript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仓储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850㎡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包装、周转间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450㎡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车间配套设备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76台/套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质量指标</w:t>
            </w: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合格率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时效指标</w:t>
            </w: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开始时间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2025年8月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结束时间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2025年12月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成本指标</w:t>
            </w: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研发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车间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≤128万元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酥饼车间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≤147万元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仓储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≤255万元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包装、周转间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≤144万元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车间配套设备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≤126万元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效益指标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经济效益指标</w:t>
            </w: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年租金收益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≧16万元/年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标</w:t>
            </w:r>
          </w:p>
        </w:tc>
        <w:tc>
          <w:tcPr>
            <w:tcW w:w="11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效益指标</w:t>
            </w: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社会效益指标</w:t>
            </w: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带动务工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≥5户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户均增收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≥2800元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生态效益指标</w:t>
            </w: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有利于保持水土流失，改善生态环境。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种植业产业结构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可持续影响指标</w:t>
            </w: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每年持续收益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土地产出率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满意度指标</w:t>
            </w:r>
          </w:p>
        </w:tc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服务对象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满意度指标</w:t>
            </w: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带动农户满意度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≥9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其他农户满意度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≥9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bidi="ar"/>
              </w:rPr>
              <w:t>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7C1512"/>
    <w:rsid w:val="228645AC"/>
    <w:rsid w:val="7779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2025-08-26T22:35:00Z</dcterms:created>
  <dc:creator>HP</dc:creator>
  <cp:lastModifiedBy>Administrator</cp:lastModifiedBy>
  <dcterms:modified xsi:type="dcterms:W3CDTF">2025-09-22T02:38:51Z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