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lang w:val="en-US" w:eastAsia="zh-CN"/>
        </w:rPr>
        <w:t>富源县富村镇</w:t>
      </w:r>
      <w:r>
        <w:rPr>
          <w:rFonts w:hint="default" w:ascii="仿宋_GB2312" w:hAnsi="仿宋_GB2312" w:eastAsia="仿宋_GB2312" w:cs="仿宋_GB2312"/>
          <w:b/>
          <w:bCs/>
          <w:color w:val="000000"/>
          <w:lang w:val="en-US" w:eastAsia="zh-CN"/>
        </w:rPr>
        <w:t>白石岩村委会中草药加工建设项目</w:t>
      </w:r>
      <w:r>
        <w:rPr>
          <w:rFonts w:hint="eastAsia" w:ascii="仿宋_GB2312" w:hAnsi="仿宋_GB2312" w:eastAsia="仿宋_GB2312" w:cs="仿宋_GB2312"/>
          <w:b/>
          <w:bCs/>
          <w:color w:val="000000"/>
          <w:lang w:val="en-US" w:eastAsia="zh-CN"/>
        </w:rPr>
        <w:t>绩效目标申报表</w:t>
      </w:r>
      <w:r>
        <w:rPr>
          <w:rFonts w:hint="eastAsia" w:ascii="仿宋_GB2312" w:hAnsi="仿宋_GB2312" w:cs="仿宋_GB2312"/>
          <w:b/>
          <w:bCs/>
          <w:color w:val="000000"/>
          <w:lang w:val="en-US" w:eastAsia="zh-CN"/>
        </w:rPr>
        <w:t>（2025年）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00" w:firstLineChars="100"/>
        <w:jc w:val="both"/>
        <w:textAlignment w:val="center"/>
        <w:rPr>
          <w:rFonts w:hint="eastAsia" w:ascii="仿宋_GB2312" w:hAnsi="仿宋_GB2312" w:eastAsia="仿宋_GB2312" w:cs="仿宋_GB2312"/>
          <w:color w:val="00000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项目实施单位：</w:t>
      </w:r>
      <w:r>
        <w:rPr>
          <w:rFonts w:hint="eastAsia" w:ascii="仿宋_GB2312" w:hAnsi="仿宋_GB2312" w:cs="仿宋_GB2312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富村镇人民政府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</w:t>
      </w:r>
      <w:r>
        <w:rPr>
          <w:rFonts w:hint="eastAsia" w:ascii="仿宋_GB2312" w:hAnsi="仿宋_GB2312" w:cs="仿宋_GB2312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             </w:t>
      </w:r>
    </w:p>
    <w:tbl>
      <w:tblPr>
        <w:tblStyle w:val="2"/>
        <w:tblW w:w="95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146"/>
        <w:gridCol w:w="1235"/>
        <w:gridCol w:w="1275"/>
        <w:gridCol w:w="2480"/>
        <w:gridCol w:w="205"/>
        <w:gridCol w:w="26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富源县富村镇白石岩村委会中草药加工建设项目</w:t>
            </w: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项目负责人及联系电话</w:t>
            </w:r>
          </w:p>
        </w:tc>
        <w:tc>
          <w:tcPr>
            <w:tcW w:w="2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王志平（139*****222）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富源县农业农村局</w:t>
            </w: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富村镇人民政府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其中财政拨款</w:t>
            </w:r>
          </w:p>
        </w:tc>
        <w:tc>
          <w:tcPr>
            <w:tcW w:w="5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0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9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20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趁鲜加工厂地面硬化（33万元）：其中，场地平整、垫土 3000㎡ （单价50元/㎡）、场地混凝土硬化3000㎡（单价60元/㎡）；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20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期厂房及仓库建设（142万元）：生产车间建设1000㎡（钢结构，层高9.5米，单价600元/㎡）、1000㎡仓库（冷库标准）建设（钢结构，层高9.5米，内部保温隔断，单价700元/㎡）、1000㎡中药材晒场建设（钢结构、透光顶，单价120元/㎡）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20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趁鲜加工生产设备购置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25万元)：联动洗药机（含气泡清洗、滚筒清洗）1套（单价10万）、多功能切药机5台（单价1万）、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ab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30㎡药材（空气能）热风循环烘房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20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脱贫户，户均增收2200元/年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00" w:firstLineChars="3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场地平整、垫土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场地混凝土硬化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生产车间建设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仓库（冷库标准）建设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中药材晒场建设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联动洗药机（含气泡清洗、滚筒清洗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多功能切药机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药材（空气能）热风循环烘房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基建质量合格率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设备采购合格率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2025年9月1日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完工时间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场地平整、垫土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每平方米成本≤50元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场地混凝土硬化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每平方米成本≤60元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生产车间建设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钢结构，层高9.5米且每米成本≤600元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仓库（冷库标准）建设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钢结构，层高9.5米，内部保温隔断，单价≤700元/㎡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中药材晒场建设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钢结构、透光顶，单价≤120元/㎡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联动洗药机（含气泡清洗、滚筒清洗）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含气泡清洗、滚筒清洗）1套≤单价10万元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多功能切药机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单价≤1万元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药材（空气能）热风循环烘房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单价≤10万元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年产值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≥4200万元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户均年增收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≥2200元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辐射带动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减少资源损耗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脱贫户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C10CC"/>
    <w:rsid w:val="12E378CB"/>
    <w:rsid w:val="32707117"/>
    <w:rsid w:val="65A3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2025-09-03T03:27:00Z</dcterms:created>
  <dc:creator>HP</dc:creator>
  <cp:lastModifiedBy>Administrator</cp:lastModifiedBy>
  <dcterms:modified xsi:type="dcterms:W3CDTF">2025-09-22T03:47:27Z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