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B059">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lang w:eastAsia="zh-CN"/>
        </w:rPr>
      </w:pPr>
    </w:p>
    <w:p w14:paraId="43FD9702">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0783926">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r>
        <w:rPr>
          <w:rFonts w:hint="default" w:ascii="Times New Roman" w:hAnsi="Times New Roman" w:cs="Times New Roman"/>
          <w:color w:val="000000"/>
          <w:sz w:val="21"/>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217170</wp:posOffset>
                </wp:positionV>
                <wp:extent cx="5794375"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94375" cy="1828800"/>
                        </a:xfrm>
                        <a:prstGeom prst="rect">
                          <a:avLst/>
                        </a:prstGeom>
                        <a:noFill/>
                        <a:ln w="6350">
                          <a:noFill/>
                        </a:ln>
                        <a:effectLst/>
                      </wps:spPr>
                      <wps:txbx>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r>
                              <w:rPr>
                                <w:rFonts w:hint="eastAsia" w:ascii="方正小标宋_GBK" w:hAnsi="方正小标宋_GBK" w:eastAsia="方正小标宋_GBK" w:cs="方正小标宋_GBK"/>
                                <w:b w:val="0"/>
                                <w:bCs w:val="0"/>
                                <w:color w:val="FF0000"/>
                                <w:spacing w:val="0"/>
                                <w:w w:val="80"/>
                                <w:sz w:val="72"/>
                                <w:szCs w:val="144"/>
                                <w:lang w:val="en-US" w:eastAsia="zh-CN"/>
                              </w:rPr>
                              <w:t>曲靖市生态环境局富源分局文件</w:t>
                            </w:r>
                          </w:p>
                        </w:txbxContent>
                      </wps:txbx>
                      <wps:bodyPr vert="horz" anchor="t" anchorCtr="0" upright="1">
                        <a:spAutoFit/>
                      </wps:bodyPr>
                    </wps:wsp>
                  </a:graphicData>
                </a:graphic>
              </wp:anchor>
            </w:drawing>
          </mc:Choice>
          <mc:Fallback>
            <w:pict>
              <v:shape id="文本框 1" o:spid="_x0000_s1026" o:spt="202" type="#_x0000_t202" style="position:absolute;left:0pt;margin-left:-22.45pt;margin-top:17.1pt;height:144pt;width:456.25pt;z-index:251663360;mso-width-relative:page;mso-height-relative:page;" filled="f" stroked="f" coordsize="21600,21600" o:gfxdata="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n8o+1gAAAAoBAAAPAAAA&#10;AAAAAAEAIAAAACIAAABkcnMvZG93bnJldi54bWxQSwECFAAUAAAACACHTuJACei4P94BAAClAwAA&#10;DgAAAAAAAAABACAAAAAlAQAAZHJzL2Uyb0RvYy54bWxQSwUGAAAAAAYABgBZAQAAdQUAAAAA&#10;">
                <v:fill on="f" focussize="0,0"/>
                <v:stroke on="f" weight="0.5pt"/>
                <v:imagedata o:title=""/>
                <o:lock v:ext="edit" aspectratio="f"/>
                <v:textbox style="mso-fit-shape-to-text:t;">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r>
                        <w:rPr>
                          <w:rFonts w:hint="eastAsia" w:ascii="方正小标宋_GBK" w:hAnsi="方正小标宋_GBK" w:eastAsia="方正小标宋_GBK" w:cs="方正小标宋_GBK"/>
                          <w:b w:val="0"/>
                          <w:bCs w:val="0"/>
                          <w:color w:val="FF0000"/>
                          <w:spacing w:val="0"/>
                          <w:w w:val="80"/>
                          <w:sz w:val="72"/>
                          <w:szCs w:val="144"/>
                          <w:lang w:val="en-US" w:eastAsia="zh-CN"/>
                        </w:rPr>
                        <w:t>曲靖市生态环境局富源分局文件</w:t>
                      </w:r>
                    </w:p>
                  </w:txbxContent>
                </v:textbox>
              </v:shape>
            </w:pict>
          </mc:Fallback>
        </mc:AlternateContent>
      </w:r>
    </w:p>
    <w:p w14:paraId="687E21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361A98FD">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02F3909">
      <w:pPr>
        <w:pStyle w:val="3"/>
        <w:rPr>
          <w:rFonts w:hint="default" w:ascii="Times New Roman" w:hAnsi="Times New Roman" w:cs="Times New Roman"/>
        </w:rPr>
      </w:pPr>
    </w:p>
    <w:p w14:paraId="526BED47">
      <w:pPr>
        <w:pStyle w:val="4"/>
        <w:rPr>
          <w:rFonts w:hint="default"/>
        </w:rPr>
      </w:pPr>
    </w:p>
    <w:p w14:paraId="71EE4014">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曲富环审〔2024〕</w:t>
      </w:r>
      <w:r>
        <w:rPr>
          <w:rFonts w:hint="eastAsia" w:ascii="Times New Roman" w:hAnsi="Times New Roman" w:eastAsia="方正仿宋_GBK" w:cs="Times New Roman"/>
          <w:kern w:val="0"/>
          <w:sz w:val="32"/>
          <w:szCs w:val="32"/>
          <w:lang w:val="en-US" w:eastAsia="zh-CN"/>
        </w:rPr>
        <w:t>42</w:t>
      </w:r>
      <w:r>
        <w:rPr>
          <w:rFonts w:hint="default" w:ascii="Times New Roman" w:hAnsi="Times New Roman" w:eastAsia="方正仿宋_GBK" w:cs="Times New Roman"/>
          <w:kern w:val="0"/>
          <w:sz w:val="32"/>
          <w:szCs w:val="32"/>
        </w:rPr>
        <w:t>号</w:t>
      </w:r>
    </w:p>
    <w:p w14:paraId="0C632AC8">
      <w:pPr>
        <w:keepNext w:val="0"/>
        <w:keepLines w:val="0"/>
        <w:pageBreakBefore w:val="0"/>
        <w:kinsoku/>
        <w:wordWrap/>
        <w:overflowPunct/>
        <w:topLinePunct w:val="0"/>
        <w:autoSpaceDE/>
        <w:autoSpaceDN/>
        <w:bidi w:val="0"/>
        <w:spacing w:line="600" w:lineRule="exact"/>
        <w:jc w:val="center"/>
        <w:textAlignment w:val="auto"/>
      </w:pPr>
      <w:r>
        <w:rPr>
          <w:rFonts w:hint="default" w:ascii="Times New Roman" w:hAnsi="Times New Roman" w:cs="Times New Roman"/>
          <w:color w:val="000000"/>
          <w:sz w:val="21"/>
        </w:rPr>
        <mc:AlternateContent>
          <mc:Choice Requires="wps">
            <w:drawing>
              <wp:anchor distT="0" distB="0" distL="114300" distR="114300" simplePos="0" relativeHeight="251664384" behindDoc="0" locked="0" layoutInCell="1" allowOverlap="1">
                <wp:simplePos x="0" y="0"/>
                <wp:positionH relativeFrom="column">
                  <wp:posOffset>-181610</wp:posOffset>
                </wp:positionH>
                <wp:positionV relativeFrom="paragraph">
                  <wp:posOffset>22860</wp:posOffset>
                </wp:positionV>
                <wp:extent cx="5699125" cy="0"/>
                <wp:effectExtent l="0" t="13970" r="15875" b="24130"/>
                <wp:wrapNone/>
                <wp:docPr id="12" name="直接连接符 12"/>
                <wp:cNvGraphicFramePr/>
                <a:graphic xmlns:a="http://schemas.openxmlformats.org/drawingml/2006/main">
                  <a:graphicData uri="http://schemas.microsoft.com/office/word/2010/wordprocessingShape">
                    <wps:wsp>
                      <wps:cNvCnPr/>
                      <wps:spPr>
                        <a:xfrm>
                          <a:off x="998855" y="3920490"/>
                          <a:ext cx="5699125"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14.3pt;margin-top:1.8pt;height:0pt;width:448.75pt;z-index:251664384;mso-width-relative:page;mso-height-relative:page;" filled="f" stroked="t" coordsize="21600,21600" o:gfxdata="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9w&#10;ymLUAAAABwEAAA8AAAAAAAAAAQAgAAAAIgAAAGRycy9kb3ducmV2LnhtbFBLAQIUABQAAAAIAIdO&#10;4kC445TG7gEAALYDAAAOAAAAAAAAAAEAIAAAACMBAABkcnMvZTJvRG9jLnhtbFBLBQYAAAAABgAG&#10;AFkBAACDBQAAAAA=&#10;">
                <v:fill on="f" focussize="0,0"/>
                <v:stroke weight="2.25pt" color="#FF0000" joinstyle="round"/>
                <v:imagedata o:title=""/>
                <o:lock v:ext="edit" aspectratio="f"/>
              </v:line>
            </w:pict>
          </mc:Fallback>
        </mc:AlternateContent>
      </w:r>
    </w:p>
    <w:p w14:paraId="799B8094">
      <w:pPr>
        <w:widowControl/>
        <w:spacing w:line="56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曲靖市生态环境局富源分局关于</w:t>
      </w:r>
    </w:p>
    <w:p w14:paraId="4F0D0A44">
      <w:pPr>
        <w:widowControl/>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富源县富村镇泰坤采石厂建设项目</w:t>
      </w:r>
    </w:p>
    <w:p w14:paraId="78496EB9">
      <w:pPr>
        <w:widowControl/>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环境影响报告表的批复</w:t>
      </w:r>
    </w:p>
    <w:p w14:paraId="267FEEB8">
      <w:pPr>
        <w:widowControl/>
        <w:spacing w:line="580" w:lineRule="exact"/>
        <w:rPr>
          <w:rFonts w:eastAsia="方正仿宋_GBK"/>
          <w:szCs w:val="32"/>
        </w:rPr>
      </w:pPr>
    </w:p>
    <w:p w14:paraId="2F91DCDC">
      <w:pPr>
        <w:keepNext w:val="0"/>
        <w:keepLines w:val="0"/>
        <w:pageBreakBefore w:val="0"/>
        <w:widowControl/>
        <w:kinsoku/>
        <w:wordWrap/>
        <w:overflowPunct/>
        <w:topLinePunct w:val="0"/>
        <w:autoSpaceDN/>
        <w:bidi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富源县坤腾矿业有限公司：</w:t>
      </w:r>
    </w:p>
    <w:p w14:paraId="491DACD2">
      <w:pPr>
        <w:keepNext w:val="0"/>
        <w:keepLines w:val="0"/>
        <w:pageBreakBefore w:val="0"/>
        <w:widowControl/>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你公司于2024年12月3日提出的审批《富源县富村镇泰坤采石厂建设项目环境影响报告表》（以下简称《报告表》）收悉。经审查，批复如下：</w:t>
      </w:r>
    </w:p>
    <w:p w14:paraId="03B6D728">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一、富源县富村镇泰坤采石厂位于云南省曲靖市富源县富村镇富村居委会杉树林村，地理坐标：东经104°27′21.114″，北纬25°24′3.273″。建设内容及规模为：采区面积0.0765km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，建设年产60万吨砂石料生产线一条，配套建设露天采区、破碎站、堆料场及其他配套设施等，建成后</w:t>
      </w:r>
      <w:r>
        <w:rPr>
          <w:rFonts w:hint="default" w:ascii="Times New Roman" w:hAnsi="Times New Roman" w:eastAsia="方正仿宋_GBK" w:cs="Times New Roman"/>
          <w:kern w:val="0"/>
          <w:sz w:val="32"/>
          <w:szCs w:val="32"/>
        </w:rPr>
        <w:t>年产60万吨</w:t>
      </w:r>
      <w:r>
        <w:rPr>
          <w:rFonts w:hint="default" w:ascii="Times New Roman" w:hAnsi="Times New Roman" w:eastAsia="方正仿宋_GBK" w:cs="Times New Roman"/>
          <w:sz w:val="32"/>
          <w:szCs w:val="32"/>
        </w:rPr>
        <w:t>建筑石料用石灰岩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项目总投资3620</w:t>
      </w:r>
      <w:r>
        <w:rPr>
          <w:rFonts w:hint="default" w:ascii="Times New Roman" w:hAnsi="Times New Roman" w:eastAsia="方正仿宋_GBK" w:cs="Times New Roman"/>
          <w:bCs/>
          <w:sz w:val="32"/>
          <w:szCs w:val="32"/>
        </w:rPr>
        <w:t>万元</w:t>
      </w:r>
      <w:r>
        <w:rPr>
          <w:rFonts w:hint="default" w:ascii="Times New Roman" w:hAnsi="Times New Roman" w:eastAsia="方正仿宋_GBK" w:cs="Times New Roman"/>
          <w:sz w:val="32"/>
          <w:szCs w:val="32"/>
        </w:rPr>
        <w:t>，其中环保投资251.5万元。</w:t>
      </w:r>
    </w:p>
    <w:p w14:paraId="17CF5341">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二、原则同意你公司报批的《报告表》中关于富源县富村镇泰坤采石厂建设项目建设投入使用过程中可能产生的环境影响分析及拟采取的污染防治措施。</w:t>
      </w:r>
    </w:p>
    <w:p w14:paraId="521F6079">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三、项目建设过程中须严格按照环评《报告表》的要求落实各项污染防治措施，同时应重点做好以下工作：</w:t>
      </w:r>
    </w:p>
    <w:p w14:paraId="3F047461">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 w:val="0"/>
          <w:bCs/>
          <w:sz w:val="32"/>
          <w:szCs w:val="32"/>
        </w:rPr>
        <w:t>（一）加强施工期环境管理。</w:t>
      </w:r>
      <w:r>
        <w:rPr>
          <w:rFonts w:hint="default" w:ascii="Times New Roman" w:hAnsi="Times New Roman" w:eastAsia="方正仿宋_GBK" w:cs="Times New Roman"/>
          <w:sz w:val="32"/>
          <w:szCs w:val="32"/>
        </w:rPr>
        <w:t>采取洒水抑尘、遮盖等措施防治扬尘，增加对施工材料的覆盖，减少建筑材料露天堆放，减少扬尘对周围环境的污染。施工期优先建设项目截排水沟、排土场、沉淀池、车辆清洗池，阻止项目区外雨水进入项目区内；</w:t>
      </w:r>
      <w:r>
        <w:rPr>
          <w:rFonts w:hint="default" w:ascii="Times New Roman" w:hAnsi="Times New Roman" w:eastAsia="方正仿宋_GBK" w:cs="Times New Roman"/>
          <w:bCs/>
          <w:sz w:val="32"/>
          <w:szCs w:val="32"/>
        </w:rPr>
        <w:t>优先建设运营期10</w:t>
      </w:r>
      <w:r>
        <w:rPr>
          <w:rFonts w:hint="default" w:ascii="Times New Roman" w:hAnsi="Times New Roman" w:eastAsia="方正仿宋_GBK" w:cs="Times New Roman"/>
          <w:snapToGrid w:val="0"/>
          <w:sz w:val="32"/>
          <w:szCs w:val="32"/>
        </w:rPr>
        <w:t>m</w:t>
      </w:r>
      <w:r>
        <w:rPr>
          <w:rFonts w:hint="default" w:ascii="Times New Roman" w:hAnsi="Times New Roman" w:eastAsia="方正仿宋_GBK" w:cs="Times New Roman"/>
          <w:snapToGrid w:val="0"/>
          <w:sz w:val="32"/>
          <w:szCs w:val="32"/>
          <w:vertAlign w:val="superscript"/>
        </w:rPr>
        <w:t>3</w:t>
      </w:r>
      <w:r>
        <w:rPr>
          <w:rFonts w:hint="default" w:ascii="Times New Roman" w:hAnsi="Times New Roman" w:eastAsia="方正仿宋_GBK" w:cs="Times New Roman"/>
          <w:snapToGrid w:val="0"/>
          <w:sz w:val="32"/>
          <w:szCs w:val="32"/>
        </w:rPr>
        <w:t>化粪池及0.5m</w:t>
      </w:r>
      <w:r>
        <w:rPr>
          <w:rFonts w:hint="default" w:ascii="Times New Roman" w:hAnsi="Times New Roman" w:eastAsia="方正仿宋_GBK" w:cs="Times New Roman"/>
          <w:snapToGrid w:val="0"/>
          <w:sz w:val="32"/>
          <w:szCs w:val="32"/>
          <w:vertAlign w:val="superscript"/>
        </w:rPr>
        <w:t>3</w:t>
      </w:r>
      <w:r>
        <w:rPr>
          <w:rFonts w:hint="default" w:ascii="Times New Roman" w:hAnsi="Times New Roman" w:eastAsia="方正仿宋_GBK" w:cs="Times New Roman"/>
          <w:snapToGrid w:val="0"/>
          <w:sz w:val="32"/>
          <w:szCs w:val="32"/>
        </w:rPr>
        <w:t>隔油池，施工人员生活污水</w:t>
      </w:r>
      <w:r>
        <w:rPr>
          <w:rFonts w:hint="default" w:ascii="Times New Roman" w:hAnsi="Times New Roman" w:eastAsia="方正仿宋_GBK" w:cs="Times New Roman"/>
          <w:bCs/>
          <w:sz w:val="32"/>
          <w:szCs w:val="32"/>
        </w:rPr>
        <w:t>经厌氧发酵后回用于周边林地、旱地施肥，不外排；土石方全部用于厂区内部回填平整；建筑垃圾统一收集后，能回收利用的回收利用或外售，不能回收利用的用于厂区平整；设置生活垃圾桶，生活垃圾统一收集后清运至当地的垃圾收集点；</w:t>
      </w:r>
      <w:r>
        <w:rPr>
          <w:rFonts w:hint="default" w:ascii="Times New Roman" w:hAnsi="Times New Roman" w:eastAsia="方正仿宋_GBK" w:cs="Times New Roman"/>
          <w:sz w:val="32"/>
          <w:szCs w:val="32"/>
        </w:rPr>
        <w:t>加强施工管理、选用低噪声设备、合理布置产噪设备，确保施工场界噪声排放达到《建筑施工场界环境噪声排放标准》（GB12523-2011）。</w:t>
      </w:r>
    </w:p>
    <w:p w14:paraId="700D3FE6">
      <w:pPr>
        <w:keepNext w:val="0"/>
        <w:keepLines w:val="0"/>
        <w:pageBreakBefore w:val="0"/>
        <w:kinsoku/>
        <w:wordWrap/>
        <w:overflowPunct/>
        <w:topLinePunct w:val="0"/>
        <w:autoSpaceDN/>
        <w:bidi w:val="0"/>
        <w:spacing w:line="600" w:lineRule="exact"/>
        <w:ind w:firstLine="480" w:firstLineChars="150"/>
        <w:textAlignment w:val="auto"/>
        <w:rPr>
          <w:rFonts w:hint="default" w:ascii="Times New Roman" w:hAnsi="Times New Roman" w:eastAsia="方正仿宋_GBK" w:cs="Times New Roman"/>
          <w:b/>
          <w:color w:val="FF0000"/>
          <w:sz w:val="32"/>
          <w:szCs w:val="32"/>
        </w:rPr>
      </w:pPr>
      <w:r>
        <w:rPr>
          <w:rFonts w:hint="default" w:ascii="方正楷体_GBK" w:hAnsi="方正楷体_GBK" w:eastAsia="方正楷体_GBK" w:cs="方正楷体_GBK"/>
          <w:b w:val="0"/>
          <w:bCs/>
          <w:sz w:val="32"/>
          <w:szCs w:val="32"/>
        </w:rPr>
        <w:t>（二）落实水污染防治措施。</w:t>
      </w:r>
      <w:bookmarkStart w:id="0" w:name="OLE_LINK39"/>
      <w:bookmarkStart w:id="1" w:name="OLE_LINK40"/>
      <w:r>
        <w:rPr>
          <w:rFonts w:hint="default" w:ascii="Times New Roman" w:hAnsi="Times New Roman" w:eastAsia="方正仿宋_GBK" w:cs="Times New Roman"/>
          <w:sz w:val="32"/>
          <w:szCs w:val="32"/>
        </w:rPr>
        <w:t>实行雨污分流排水体制，露天采区、</w:t>
      </w:r>
      <w:bookmarkStart w:id="2" w:name="OLE_LINK699"/>
      <w:bookmarkStart w:id="3" w:name="OLE_LINK700"/>
      <w:r>
        <w:rPr>
          <w:rFonts w:hint="default" w:ascii="Times New Roman" w:hAnsi="Times New Roman" w:eastAsia="方正仿宋_GBK" w:cs="Times New Roman"/>
          <w:sz w:val="32"/>
          <w:szCs w:val="32"/>
        </w:rPr>
        <w:t>工业场地、排土场、运输道路设置</w:t>
      </w:r>
      <w:bookmarkEnd w:id="2"/>
      <w:bookmarkEnd w:id="3"/>
      <w:r>
        <w:rPr>
          <w:rFonts w:hint="default" w:ascii="Times New Roman" w:hAnsi="Times New Roman" w:eastAsia="方正仿宋_GBK" w:cs="Times New Roman"/>
          <w:sz w:val="32"/>
          <w:szCs w:val="32"/>
        </w:rPr>
        <w:t>截排水沟，阻止项目区外雨水进入项目区内；露天采区内设置雨水收集沟、65m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初期雨水收集池；排土场设置雨水收集沟、30m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初期雨水收集池；工业场地设置雨水收集沟、利用已建2个雨水收集池，容积为80m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露天采区、工业场地、排土场、运输道路初期雨水引入初期雨水收集池沉淀后后回用于项目区洒水降尘，不外排；彩钢瓦大棚上设置雨水收集槽和雨水收集管，大棚雨水经收集后通过雨水收集管引出项目区外；设置容积分别为10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化粪池、0.5 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隔油池，</w:t>
      </w:r>
      <w:r>
        <w:rPr>
          <w:rFonts w:hint="default" w:ascii="Times New Roman" w:hAnsi="Times New Roman" w:eastAsia="方正仿宋_GBK" w:cs="Times New Roman"/>
          <w:snapToGrid w:val="0"/>
          <w:sz w:val="32"/>
          <w:szCs w:val="32"/>
        </w:rPr>
        <w:t>工作人员生活污水</w:t>
      </w:r>
      <w:r>
        <w:rPr>
          <w:rFonts w:hint="default" w:ascii="Times New Roman" w:hAnsi="Times New Roman" w:eastAsia="方正仿宋_GBK" w:cs="Times New Roman"/>
          <w:bCs/>
          <w:sz w:val="32"/>
          <w:szCs w:val="32"/>
        </w:rPr>
        <w:t>经厌氧发酵后回用于周边林地、旱地施肥，不外排</w:t>
      </w:r>
      <w:r>
        <w:rPr>
          <w:rFonts w:hint="default" w:ascii="Times New Roman" w:hAnsi="Times New Roman" w:eastAsia="方正仿宋_GBK" w:cs="Times New Roman"/>
          <w:sz w:val="32"/>
          <w:szCs w:val="32"/>
        </w:rPr>
        <w:t>；工作人员粪便进入化粪池，</w:t>
      </w:r>
      <w:r>
        <w:rPr>
          <w:rFonts w:hint="default" w:ascii="Times New Roman" w:hAnsi="Times New Roman" w:eastAsia="方正仿宋_GBK" w:cs="Times New Roman"/>
          <w:bCs/>
          <w:sz w:val="32"/>
          <w:szCs w:val="32"/>
        </w:rPr>
        <w:t>定期委托周边农户清掏后用作农肥，不外排。</w:t>
      </w:r>
    </w:p>
    <w:bookmarkEnd w:id="0"/>
    <w:bookmarkEnd w:id="1"/>
    <w:p w14:paraId="3DC62F3C">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sz w:val="32"/>
          <w:szCs w:val="32"/>
        </w:rPr>
      </w:pPr>
      <w:r>
        <w:rPr>
          <w:rFonts w:hint="default" w:ascii="方正楷体_GBK" w:hAnsi="方正楷体_GBK" w:eastAsia="方正楷体_GBK" w:cs="方正楷体_GBK"/>
          <w:b w:val="0"/>
          <w:bCs/>
          <w:sz w:val="32"/>
          <w:szCs w:val="32"/>
        </w:rPr>
        <w:t>（三）落实大气污染防治措施。</w:t>
      </w:r>
      <w:r>
        <w:rPr>
          <w:rFonts w:hint="default" w:ascii="Times New Roman" w:hAnsi="Times New Roman" w:eastAsia="方正仿宋_GBK" w:cs="Times New Roman"/>
          <w:sz w:val="32"/>
          <w:szCs w:val="32"/>
        </w:rPr>
        <w:t>项目露天开采工作面采取干式凿岩，</w:t>
      </w:r>
      <w:r>
        <w:rPr>
          <w:rFonts w:hint="default" w:ascii="Times New Roman" w:hAnsi="Times New Roman" w:eastAsia="方正仿宋_GBK" w:cs="Times New Roman"/>
          <w:bCs/>
          <w:kern w:val="0"/>
          <w:sz w:val="32"/>
          <w:szCs w:val="32"/>
        </w:rPr>
        <w:t>露天采区工作面设置1台雾炮机喷雾降尘</w:t>
      </w:r>
      <w:r>
        <w:rPr>
          <w:rFonts w:hint="default" w:ascii="Times New Roman" w:hAnsi="Times New Roman" w:eastAsia="方正仿宋_GBK" w:cs="Times New Roman"/>
          <w:sz w:val="32"/>
          <w:szCs w:val="32"/>
        </w:rPr>
        <w:t>；石料加工过程位于封闭彩钢瓦大棚内,大棚内设置喷头喷雾降尘；振动喂料机进口、皮带输送机末端设置喷头喷雾降尘；颚式破碎机（一破）采用湿式破碎，反击式破碎机、圆锥式破碎机、筛分设施各设置一个集气罩（总共3个），反击式破碎机、圆锥式破碎机、筛分设施产生的粉尘经集气罩收集后采用1套布袋除尘器除尘，除尘后经1根15m高排气筒（DA001）排放；成品堆场设置为封闭彩钢瓦大棚，大棚内设置喷头喷雾降尘；排土场设置1台雾炮机喷雾降尘，表面采用塑料薄膜进行临时覆盖，暂存后废石（土夹石）及时用于采空区回填，表土及时用于复垦，不在厂区长时间堆存；成品运输车辆密闭运输，车辆顶部遮盖篷布，厂内运输道路采用碎石硬化，设置洒水车洒水降尘。通过以上措施确保项目运营期有组织粉尘排放满足《大气污染物综合排放标准》（GB16297-1996）</w:t>
      </w:r>
      <w:r>
        <w:rPr>
          <w:rFonts w:hint="default" w:ascii="Times New Roman" w:hAnsi="Times New Roman" w:eastAsia="方正仿宋_GBK" w:cs="Times New Roman"/>
          <w:kern w:val="0"/>
          <w:sz w:val="32"/>
          <w:szCs w:val="32"/>
        </w:rPr>
        <w:t>表2中的有组织排放标准要求，厂界无组织粉尘排放满足</w:t>
      </w:r>
      <w:r>
        <w:rPr>
          <w:rFonts w:hint="default" w:ascii="Times New Roman" w:hAnsi="Times New Roman" w:eastAsia="方正仿宋_GBK" w:cs="Times New Roman"/>
          <w:sz w:val="32"/>
          <w:szCs w:val="32"/>
        </w:rPr>
        <w:t>《大气污染物综合排放标准》（GB16297-1996）</w:t>
      </w:r>
      <w:r>
        <w:rPr>
          <w:rFonts w:hint="default" w:ascii="Times New Roman" w:hAnsi="Times New Roman" w:eastAsia="方正仿宋_GBK" w:cs="Times New Roman"/>
          <w:kern w:val="0"/>
          <w:sz w:val="32"/>
          <w:szCs w:val="32"/>
        </w:rPr>
        <w:t>表2中的无组织排放监控浓度限值要求。</w:t>
      </w:r>
    </w:p>
    <w:p w14:paraId="63D20FAC">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（四）妥善处理固体废物。</w:t>
      </w:r>
      <w:r>
        <w:rPr>
          <w:rFonts w:hint="default" w:ascii="Times New Roman" w:hAnsi="Times New Roman" w:eastAsia="方正仿宋_GBK" w:cs="Times New Roman"/>
          <w:sz w:val="32"/>
          <w:szCs w:val="32"/>
        </w:rPr>
        <w:t>项目区设置面积为2532m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排土场，用于暂存剥离表土、废石（土夹石），矿区边开采边复垦；布袋除尘器除尘灰</w:t>
      </w:r>
      <w:r>
        <w:rPr>
          <w:rFonts w:hint="default" w:ascii="Times New Roman" w:hAnsi="Times New Roman" w:eastAsia="方正仿宋_GBK" w:cs="Times New Roman"/>
          <w:kern w:val="0"/>
          <w:sz w:val="32"/>
          <w:szCs w:val="32"/>
        </w:rPr>
        <w:t>统一收集后和细砂一起外售；初期雨水、洗车废水</w:t>
      </w:r>
      <w:r>
        <w:rPr>
          <w:rFonts w:hint="default" w:ascii="Times New Roman" w:hAnsi="Times New Roman" w:eastAsia="方正仿宋_GBK" w:cs="Times New Roman"/>
          <w:sz w:val="32"/>
          <w:szCs w:val="32"/>
        </w:rPr>
        <w:t>水池沉淀污泥由工作人员定期清掏后全部用于采空区回填复垦；隔油池废油定期清掏交由有资质单位处置；</w:t>
      </w:r>
      <w:r>
        <w:rPr>
          <w:rFonts w:hint="default" w:ascii="Times New Roman" w:hAnsi="Times New Roman" w:eastAsia="方正仿宋_GBK" w:cs="Times New Roman"/>
          <w:bCs/>
          <w:sz w:val="32"/>
          <w:szCs w:val="32"/>
        </w:rPr>
        <w:t>化粪池污泥委托周围村民定期清掏用作农家肥；</w:t>
      </w:r>
      <w:r>
        <w:rPr>
          <w:rFonts w:hint="default" w:ascii="Times New Roman" w:hAnsi="Times New Roman" w:eastAsia="方正仿宋_GBK" w:cs="Times New Roman"/>
          <w:sz w:val="32"/>
          <w:szCs w:val="32"/>
        </w:rPr>
        <w:t>生活垃圾统一收集后清运至当地垃圾收集点；</w:t>
      </w:r>
      <w:bookmarkStart w:id="4" w:name="OLE_LINK722"/>
      <w:bookmarkStart w:id="5" w:name="OLE_LINK721"/>
      <w:r>
        <w:rPr>
          <w:rFonts w:hint="default" w:ascii="Times New Roman" w:hAnsi="Times New Roman" w:eastAsia="方正仿宋_GBK" w:cs="Times New Roman"/>
          <w:sz w:val="32"/>
          <w:szCs w:val="32"/>
        </w:rPr>
        <w:t>规范设置10m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危废暂存间，废机油可用于矿山机械设备润滑，剩余部分废机油、机油废油桶暂存于危险废物暂存间，委托有资质单位清运处置，废机油</w:t>
      </w:r>
      <w:bookmarkStart w:id="6" w:name="OLE_LINK125"/>
      <w:bookmarkStart w:id="7" w:name="OLE_LINK574"/>
      <w:bookmarkStart w:id="8" w:name="OLE_LINK124"/>
      <w:r>
        <w:rPr>
          <w:rFonts w:hint="default" w:ascii="Times New Roman" w:hAnsi="Times New Roman" w:eastAsia="方正仿宋_GBK" w:cs="Times New Roman"/>
          <w:sz w:val="32"/>
          <w:szCs w:val="32"/>
        </w:rPr>
        <w:t>及机油废油桶收集暂存过程中的管理应严格按照《危险废物贮存污染控制标准》（GB18597-2023）相关标准执行，并严格执行危险废物转移联单制度和台账管理制度</w:t>
      </w:r>
      <w:bookmarkEnd w:id="4"/>
      <w:bookmarkEnd w:id="5"/>
      <w:r>
        <w:rPr>
          <w:rFonts w:hint="default" w:ascii="Times New Roman" w:hAnsi="Times New Roman" w:eastAsia="方正仿宋_GBK" w:cs="Times New Roman"/>
          <w:sz w:val="32"/>
          <w:szCs w:val="32"/>
        </w:rPr>
        <w:t>。</w:t>
      </w:r>
      <w:bookmarkEnd w:id="6"/>
      <w:bookmarkEnd w:id="7"/>
      <w:bookmarkEnd w:id="8"/>
    </w:p>
    <w:p w14:paraId="6AC086E3">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sz w:val="32"/>
          <w:szCs w:val="32"/>
        </w:rPr>
      </w:pPr>
      <w:r>
        <w:rPr>
          <w:rFonts w:hint="default" w:ascii="方正楷体_GBK" w:hAnsi="方正楷体_GBK" w:eastAsia="方正楷体_GBK" w:cs="方正楷体_GBK"/>
          <w:b w:val="0"/>
          <w:bCs/>
          <w:sz w:val="32"/>
          <w:szCs w:val="32"/>
        </w:rPr>
        <w:t>（五）落实噪声污染防治措施。</w:t>
      </w:r>
      <w:r>
        <w:rPr>
          <w:rFonts w:hint="default" w:ascii="Times New Roman" w:hAnsi="Times New Roman" w:eastAsia="方正仿宋_GBK" w:cs="Times New Roman"/>
          <w:sz w:val="32"/>
          <w:szCs w:val="32"/>
        </w:rPr>
        <w:t>选用低噪声设备，对振动喂料机、振动筛、颚式破碎机、反击式破碎机、圆锥式破碎机、水泵安装减震垫；风机设置消声器；空压机设置隔声罩，从声源控制噪声污染；振动喂料机、振动筛、颚式破碎机、反击式破碎机、圆锥式破碎机、风机、皮带输送机设置在厂房内，通过厂房隔声降噪；合理安排生产时间，项目昼间生产，夜间不生产，不运输；项目区设置限速、禁鸣标识牌，禁止进出项目区域的车辆鸣笛。确保工业场地南、西、北侧厂界噪声排放达到《工业企业厂界环境噪声排放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GB12348-2008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2类区标准，工业场地东侧厂界噪声排放达到《工业企业厂界环境噪声排放标准》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GB12348-2008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4类区标准；工业场地南、西、北侧区域声环境质量达到《声环境质量标准》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GB3096-2008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2类区标准要求，工业场地东侧区域声环境质量达到《声环境质量标准》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GB3096-2008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4a类区标准要求。</w:t>
      </w:r>
    </w:p>
    <w:p w14:paraId="2B830C32">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（六）加强应急处置。</w:t>
      </w:r>
      <w:r>
        <w:rPr>
          <w:rFonts w:hint="default" w:ascii="Times New Roman" w:hAnsi="Times New Roman" w:eastAsia="方正仿宋_GBK" w:cs="Times New Roman"/>
          <w:sz w:val="32"/>
          <w:szCs w:val="32"/>
        </w:rPr>
        <w:t>制定和完善环境风险及突发环境事件应急预案，并报市生态环境局富源分局备案。按照“预防为主”的原则，做好日常环境管理工作，认真落实环境风险事故防范措施及应急措施。</w:t>
      </w:r>
    </w:p>
    <w:p w14:paraId="26E479BD">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你公司应根据报告表中提出的环保对策措施和市生态环境局富源分局批复要求，做好各项生态保护和污染防治工作，严格执行环境保护设施与主体工程同时设计、同时施工、同时投入使用的环保“三同时”制度。</w:t>
      </w:r>
    </w:p>
    <w:p w14:paraId="4623A161">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五、项目建成后你公司应按照《建设项目竣工环境保护验收暂行办法》</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国环规环评〔2017</w:t>
      </w:r>
      <w:r>
        <w:rPr>
          <w:rFonts w:hint="default" w:ascii="Times New Roman" w:hAnsi="Times New Roman" w:eastAsia="方正仿宋_GBK" w:cs="Times New Roman"/>
          <w:szCs w:val="32"/>
        </w:rPr>
        <w:t>〕</w:t>
      </w:r>
      <w:r>
        <w:rPr>
          <w:rFonts w:hint="default" w:ascii="Times New Roman" w:hAnsi="Times New Roman" w:eastAsia="方正仿宋_GBK" w:cs="Times New Roman"/>
          <w:sz w:val="32"/>
          <w:szCs w:val="32"/>
        </w:rPr>
        <w:t>4号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相关要求完成环保竣工自主验收，并按《排污许可证管理办法（试行</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》要求，在项目建成投产前办理排污许可手续。</w:t>
      </w:r>
    </w:p>
    <w:p w14:paraId="5EE705DE">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如项目性质、规模、地点、采用的生产工艺等发生重大变动，均须另行按规定开展环境影响评价并重新报批。项目环境影响评价自批准之日起超过五年，方决定开工建设，应报市生态环境局富源分局重新审核。</w:t>
      </w:r>
    </w:p>
    <w:p w14:paraId="39B79AA8">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富源县生态环境保护综合行政执法大队加强项目事中事后监管，按照《关于进一步完善建设项目环境保护“三同时”及竣工环境保护自主验收监管工作机制的意见》（环执法〔2021〕70号）要求，督促企业严格落实“三同时”和竣工环境保护验收。请富村镇人民政府落实属地监管职责，加强对该项目生态环境保护的属地监</w:t>
      </w:r>
      <w:bookmarkStart w:id="9" w:name="_GoBack"/>
      <w:bookmarkEnd w:id="9"/>
      <w:r>
        <w:rPr>
          <w:rFonts w:hint="default" w:ascii="Times New Roman" w:hAnsi="Times New Roman" w:eastAsia="方正仿宋_GBK" w:cs="Times New Roman"/>
          <w:sz w:val="32"/>
          <w:szCs w:val="32"/>
        </w:rPr>
        <w:t>管。</w:t>
      </w:r>
    </w:p>
    <w:p w14:paraId="0AD4590A">
      <w:pPr>
        <w:pStyle w:val="7"/>
        <w:keepNext w:val="0"/>
        <w:keepLines w:val="0"/>
        <w:pageBreakBefore w:val="0"/>
        <w:kinsoku/>
        <w:wordWrap/>
        <w:overflowPunct/>
        <w:topLinePunct w:val="0"/>
        <w:autoSpaceDN/>
        <w:bidi w:val="0"/>
        <w:spacing w:line="600" w:lineRule="exact"/>
        <w:ind w:leftChars="0" w:firstLine="3840" w:firstLineChars="1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t xml:space="preserve"> </w:t>
      </w:r>
    </w:p>
    <w:p w14:paraId="68992158">
      <w:pPr>
        <w:pStyle w:val="2"/>
        <w:keepNext w:val="0"/>
        <w:keepLines w:val="0"/>
        <w:pageBreakBefore w:val="0"/>
        <w:kinsoku/>
        <w:wordWrap/>
        <w:overflowPunct/>
        <w:topLinePunct w:val="0"/>
        <w:autoSpaceDN/>
        <w:bidi w:val="0"/>
        <w:spacing w:line="600" w:lineRule="exact"/>
        <w:ind w:left="419" w:leftChars="131"/>
        <w:textAlignment w:val="auto"/>
        <w:rPr>
          <w:rFonts w:hint="default" w:ascii="Times New Roman" w:hAnsi="Times New Roman" w:eastAsia="方正仿宋_GBK" w:cs="Times New Roman"/>
          <w:color w:val="FF0000"/>
          <w:sz w:val="32"/>
          <w:szCs w:val="32"/>
        </w:rPr>
      </w:pPr>
    </w:p>
    <w:p w14:paraId="12F1A848">
      <w:pPr>
        <w:keepNext w:val="0"/>
        <w:keepLines w:val="0"/>
        <w:pageBreakBefore w:val="0"/>
        <w:widowControl/>
        <w:kinsoku/>
        <w:wordWrap/>
        <w:overflowPunct/>
        <w:topLinePunct w:val="0"/>
        <w:autoSpaceDN/>
        <w:bidi w:val="0"/>
        <w:adjustRightInd w:val="0"/>
        <w:snapToGrid w:val="0"/>
        <w:spacing w:line="600" w:lineRule="exact"/>
        <w:textAlignment w:val="auto"/>
        <w:rPr>
          <w:rFonts w:hint="default" w:ascii="Times New Roman" w:hAnsi="Times New Roman" w:eastAsia="方正仿宋_GBK" w:cs="Times New Roman"/>
          <w:color w:val="FF0000"/>
          <w:sz w:val="32"/>
          <w:szCs w:val="32"/>
        </w:rPr>
      </w:pPr>
    </w:p>
    <w:p w14:paraId="23436CAC">
      <w:pPr>
        <w:pStyle w:val="7"/>
        <w:keepNext w:val="0"/>
        <w:keepLines w:val="0"/>
        <w:pageBreakBefore w:val="0"/>
        <w:kinsoku/>
        <w:wordWrap/>
        <w:overflowPunct/>
        <w:topLinePunct w:val="0"/>
        <w:autoSpaceDN/>
        <w:bidi w:val="0"/>
        <w:spacing w:line="600" w:lineRule="exact"/>
        <w:ind w:leftChars="0"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曲靖市生态环境局富源分局</w:t>
      </w:r>
    </w:p>
    <w:p w14:paraId="38AB4232">
      <w:pPr>
        <w:keepNext w:val="0"/>
        <w:keepLines w:val="0"/>
        <w:pageBreakBefore w:val="0"/>
        <w:kinsoku/>
        <w:wordWrap/>
        <w:overflowPunct/>
        <w:topLinePunct w:val="0"/>
        <w:autoSpaceDN/>
        <w:bidi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2024年12月3日</w:t>
      </w:r>
    </w:p>
    <w:p w14:paraId="34EE234A">
      <w:pPr>
        <w:pStyle w:val="6"/>
        <w:rPr>
          <w:rFonts w:ascii="仿宋" w:hAnsi="仿宋" w:eastAsia="仿宋"/>
        </w:rPr>
      </w:pPr>
    </w:p>
    <w:p w14:paraId="085D6D72">
      <w:pPr>
        <w:pStyle w:val="4"/>
        <w:ind w:firstLine="0" w:firstLineChars="0"/>
        <w:rPr>
          <w:rFonts w:ascii="仿宋" w:hAnsi="仿宋" w:eastAsia="仿宋"/>
        </w:rPr>
      </w:pPr>
    </w:p>
    <w:p w14:paraId="5B274DF7">
      <w:pPr>
        <w:pStyle w:val="4"/>
        <w:ind w:firstLine="0" w:firstLineChars="0"/>
        <w:rPr>
          <w:rFonts w:ascii="仿宋" w:hAnsi="仿宋" w:eastAsia="仿宋"/>
        </w:rPr>
      </w:pPr>
    </w:p>
    <w:p w14:paraId="6CDD42A1">
      <w:pPr>
        <w:pStyle w:val="4"/>
        <w:ind w:firstLine="0" w:firstLineChars="0"/>
        <w:rPr>
          <w:rFonts w:ascii="仿宋" w:hAnsi="仿宋" w:eastAsia="仿宋"/>
        </w:rPr>
      </w:pPr>
    </w:p>
    <w:p w14:paraId="3FCCA62A">
      <w:pPr>
        <w:pStyle w:val="4"/>
        <w:ind w:firstLine="0" w:firstLineChars="0"/>
        <w:rPr>
          <w:rFonts w:ascii="仿宋" w:hAnsi="仿宋" w:eastAsia="仿宋"/>
        </w:rPr>
      </w:pPr>
    </w:p>
    <w:p w14:paraId="59A2CC47">
      <w:pPr>
        <w:pStyle w:val="4"/>
        <w:ind w:firstLine="0" w:firstLineChars="0"/>
        <w:rPr>
          <w:rFonts w:ascii="仿宋" w:hAnsi="仿宋" w:eastAsia="仿宋"/>
        </w:rPr>
      </w:pPr>
    </w:p>
    <w:p w14:paraId="4DBA02A9">
      <w:pPr>
        <w:pStyle w:val="4"/>
        <w:ind w:firstLine="0" w:firstLineChars="0"/>
        <w:rPr>
          <w:rFonts w:ascii="仿宋" w:hAnsi="仿宋" w:eastAsia="仿宋"/>
        </w:rPr>
      </w:pPr>
    </w:p>
    <w:p w14:paraId="7207E721">
      <w:pPr>
        <w:pStyle w:val="4"/>
        <w:ind w:firstLine="0" w:firstLineChars="0"/>
        <w:rPr>
          <w:rFonts w:ascii="仿宋" w:hAnsi="仿宋" w:eastAsia="仿宋"/>
        </w:rPr>
      </w:pPr>
    </w:p>
    <w:p w14:paraId="70B8F7CA">
      <w:pPr>
        <w:pStyle w:val="4"/>
        <w:ind w:firstLine="0" w:firstLineChars="0"/>
        <w:rPr>
          <w:rFonts w:ascii="仿宋" w:hAnsi="仿宋" w:eastAsia="仿宋"/>
        </w:rPr>
      </w:pPr>
    </w:p>
    <w:p w14:paraId="47F901BA">
      <w:pPr>
        <w:pStyle w:val="4"/>
        <w:ind w:firstLine="0" w:firstLineChars="0"/>
        <w:rPr>
          <w:rFonts w:ascii="仿宋" w:hAnsi="仿宋" w:eastAsia="仿宋"/>
        </w:rPr>
      </w:pPr>
    </w:p>
    <w:p w14:paraId="7B7BD28B">
      <w:pPr>
        <w:pStyle w:val="4"/>
        <w:ind w:firstLine="0" w:firstLineChars="0"/>
        <w:rPr>
          <w:rFonts w:ascii="仿宋" w:hAnsi="仿宋" w:eastAsia="仿宋"/>
        </w:rPr>
      </w:pPr>
    </w:p>
    <w:p w14:paraId="4CA51FEE">
      <w:pPr>
        <w:pStyle w:val="11"/>
        <w:spacing w:after="120" w:line="520" w:lineRule="exact"/>
        <w:ind w:left="960" w:hanging="960" w:hangingChars="3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线 2"/>
                <wp:cNvGraphicFramePr/>
                <a:graphic xmlns:a="http://schemas.openxmlformats.org/drawingml/2006/main">
                  <a:graphicData uri="http://schemas.microsoft.com/office/word/2010/wordprocessingShape">
                    <wps:wsp>
                      <wps:cNvSp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EgM+1AAAAAYB&#10;AAAPAAAAAAAAAAEAIAAAACIAAABkcnMvZG93bnJldi54bWxQSwECFAAUAAAACACHTuJAvVxgS+YB&#10;AADcAwAADgAAAAAAAAABACAAAAAj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kern w:val="0"/>
          <w:sz w:val="32"/>
          <w:szCs w:val="32"/>
        </w:rPr>
        <w:t>抄送：富村镇人民政府、富源县应急管理局、富源县自然资源局、</w:t>
      </w:r>
      <w:r>
        <w:rPr>
          <w:rFonts w:hint="default" w:ascii="Times New Roman" w:hAnsi="Times New Roman" w:eastAsia="方正仿宋_GBK" w:cs="Times New Roman"/>
          <w:sz w:val="32"/>
          <w:szCs w:val="32"/>
        </w:rPr>
        <w:t>富源县生态环境保护综合行政执法大队</w:t>
      </w:r>
    </w:p>
    <w:p w14:paraId="0C341403">
      <w:pPr>
        <w:pStyle w:val="2"/>
        <w:spacing w:line="520" w:lineRule="exact"/>
        <w:ind w:left="0" w:leftChars="0"/>
        <w:rPr>
          <w:rFonts w:ascii="仿宋" w:hAnsi="仿宋" w:eastAsia="仿宋"/>
          <w:color w:val="FF0000"/>
        </w:rPr>
      </w:pPr>
      <w:r>
        <w:rPr>
          <w:rFonts w:hint="default" w:ascii="Times New Roman" w:hAnsi="Times New Roman" w:eastAsia="方正仿宋_GBK" w:cs="Times New Roman"/>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2" name="直线 4"/>
                <wp:cNvGraphicFramePr/>
                <a:graphic xmlns:a="http://schemas.openxmlformats.org/drawingml/2006/main">
                  <a:graphicData uri="http://schemas.microsoft.com/office/word/2010/wordprocessingShape">
                    <wps:wsp>
                      <wps:cNvSp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FFeCXWAAAA&#10;CAEAAA8AAAAAAAAAAQAgAAAAIgAAAGRycy9kb3ducmV2LnhtbFBLAQIUABQAAAAIAIdO4kAkpFiC&#10;5gEAANwDAAAOAAAAAAAAAAEAIAAAACUBAABkcnMvZTJvRG9jLnhtbFBLBQYAAAAABgAGAFkBAAB9&#10;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1" name="直线 3"/>
                <wp:cNvGraphicFramePr/>
                <a:graphic xmlns:a="http://schemas.openxmlformats.org/drawingml/2006/main">
                  <a:graphicData uri="http://schemas.microsoft.com/office/word/2010/wordprocessingShape">
                    <wps:wsp>
                      <wps:cNvSp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ISAz7UAAAABgEA&#10;AA8AAAAAAAAAAQAgAAAAIgAAAGRycy9kb3ducmV2LnhtbFBLAQIUABQAAAAIAIdO4kCIaYa75QEA&#10;ANwDAAAOAAAAAAAAAAEAIAAAACMBAABkcnMvZTJvRG9jLnhtbFBLBQYAAAAABgAGAFkBAAB6BQAA&#10;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kern w:val="0"/>
          <w:szCs w:val="32"/>
        </w:rPr>
        <w:t>曲靖市生态环境局富源分局</w:t>
      </w:r>
      <w:r>
        <w:rPr>
          <w:rFonts w:hint="default" w:ascii="Times New Roman" w:hAnsi="Times New Roman" w:eastAsia="方正仿宋_GBK" w:cs="Times New Roman"/>
          <w:szCs w:val="32"/>
        </w:rPr>
        <w:t>办公室  2024年12月3日印发</w:t>
      </w:r>
      <w:r>
        <w:rPr>
          <w:rFonts w:ascii="仿宋" w:hAnsi="仿宋" w:eastAsia="仿宋"/>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26A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990BEC4">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kQyYw5wEAAMcD&#10;AAAOAAAAAAAAAAEAIAAAAB4BAABkcnMvZTJvRG9jLnhtbFBLBQYAAAAABgAGAFkBAAB3BQAAAAA=&#10;">
              <v:fill on="f" focussize="0,0"/>
              <v:stroke on="f"/>
              <v:imagedata o:title=""/>
              <o:lock v:ext="edit" aspectratio="f"/>
              <v:textbox inset="0mm,0mm,0mm,0mm" style="mso-fit-shape-to-text:t;">
                <w:txbxContent>
                  <w:p w14:paraId="7990BEC4">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06273"/>
    <w:rsid w:val="00011698"/>
    <w:rsid w:val="00014443"/>
    <w:rsid w:val="0001484C"/>
    <w:rsid w:val="00014899"/>
    <w:rsid w:val="00027FB2"/>
    <w:rsid w:val="00036B2D"/>
    <w:rsid w:val="00040D94"/>
    <w:rsid w:val="00045C6B"/>
    <w:rsid w:val="00052637"/>
    <w:rsid w:val="00057D12"/>
    <w:rsid w:val="00057E59"/>
    <w:rsid w:val="00061687"/>
    <w:rsid w:val="000666D5"/>
    <w:rsid w:val="000732BD"/>
    <w:rsid w:val="0007431A"/>
    <w:rsid w:val="0007513E"/>
    <w:rsid w:val="0007563A"/>
    <w:rsid w:val="000818BD"/>
    <w:rsid w:val="000829C8"/>
    <w:rsid w:val="000964C3"/>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3284"/>
    <w:rsid w:val="000E5384"/>
    <w:rsid w:val="000F087D"/>
    <w:rsid w:val="000F2922"/>
    <w:rsid w:val="000F4DBE"/>
    <w:rsid w:val="000F55ED"/>
    <w:rsid w:val="00100192"/>
    <w:rsid w:val="001002C8"/>
    <w:rsid w:val="00102F8C"/>
    <w:rsid w:val="00103147"/>
    <w:rsid w:val="00105105"/>
    <w:rsid w:val="0010733C"/>
    <w:rsid w:val="0011204A"/>
    <w:rsid w:val="001128E6"/>
    <w:rsid w:val="001129E1"/>
    <w:rsid w:val="0011731F"/>
    <w:rsid w:val="001202B0"/>
    <w:rsid w:val="00133F22"/>
    <w:rsid w:val="00135F80"/>
    <w:rsid w:val="00136BF1"/>
    <w:rsid w:val="00145C36"/>
    <w:rsid w:val="00146AF5"/>
    <w:rsid w:val="001579DF"/>
    <w:rsid w:val="0016022F"/>
    <w:rsid w:val="00160A6D"/>
    <w:rsid w:val="0018019D"/>
    <w:rsid w:val="001801B7"/>
    <w:rsid w:val="0018145A"/>
    <w:rsid w:val="0018446B"/>
    <w:rsid w:val="001911F3"/>
    <w:rsid w:val="001929BC"/>
    <w:rsid w:val="00195D50"/>
    <w:rsid w:val="001A1124"/>
    <w:rsid w:val="001A1C18"/>
    <w:rsid w:val="001A1C71"/>
    <w:rsid w:val="001A39BE"/>
    <w:rsid w:val="001B0A8A"/>
    <w:rsid w:val="001B13AD"/>
    <w:rsid w:val="001B34AE"/>
    <w:rsid w:val="001C0932"/>
    <w:rsid w:val="001C2069"/>
    <w:rsid w:val="001C547B"/>
    <w:rsid w:val="001C5DA3"/>
    <w:rsid w:val="001D03D7"/>
    <w:rsid w:val="001F60CD"/>
    <w:rsid w:val="00206D37"/>
    <w:rsid w:val="002139EB"/>
    <w:rsid w:val="00221BB6"/>
    <w:rsid w:val="00222830"/>
    <w:rsid w:val="00222E94"/>
    <w:rsid w:val="00234180"/>
    <w:rsid w:val="002351F2"/>
    <w:rsid w:val="0025380A"/>
    <w:rsid w:val="00253978"/>
    <w:rsid w:val="0025444D"/>
    <w:rsid w:val="00255916"/>
    <w:rsid w:val="0026118F"/>
    <w:rsid w:val="0026232D"/>
    <w:rsid w:val="00264D47"/>
    <w:rsid w:val="00275C3B"/>
    <w:rsid w:val="002825DF"/>
    <w:rsid w:val="00286C58"/>
    <w:rsid w:val="00295240"/>
    <w:rsid w:val="002966D8"/>
    <w:rsid w:val="0029792A"/>
    <w:rsid w:val="00297C13"/>
    <w:rsid w:val="002A0F3D"/>
    <w:rsid w:val="002A54CE"/>
    <w:rsid w:val="002A56A9"/>
    <w:rsid w:val="002A73EF"/>
    <w:rsid w:val="002B6B05"/>
    <w:rsid w:val="002C706E"/>
    <w:rsid w:val="002D13B5"/>
    <w:rsid w:val="002D233B"/>
    <w:rsid w:val="002D65A0"/>
    <w:rsid w:val="002E2E20"/>
    <w:rsid w:val="002E2F13"/>
    <w:rsid w:val="002E33AB"/>
    <w:rsid w:val="002E5537"/>
    <w:rsid w:val="00304933"/>
    <w:rsid w:val="003061CC"/>
    <w:rsid w:val="00306C26"/>
    <w:rsid w:val="003102A9"/>
    <w:rsid w:val="00310709"/>
    <w:rsid w:val="00320506"/>
    <w:rsid w:val="00322190"/>
    <w:rsid w:val="00325E06"/>
    <w:rsid w:val="00332E1F"/>
    <w:rsid w:val="0033531E"/>
    <w:rsid w:val="00340829"/>
    <w:rsid w:val="00344F0D"/>
    <w:rsid w:val="00345822"/>
    <w:rsid w:val="00360844"/>
    <w:rsid w:val="003618CB"/>
    <w:rsid w:val="003673F3"/>
    <w:rsid w:val="0037653F"/>
    <w:rsid w:val="00382E3A"/>
    <w:rsid w:val="00395FD6"/>
    <w:rsid w:val="003B3D5E"/>
    <w:rsid w:val="003B40DC"/>
    <w:rsid w:val="003B4798"/>
    <w:rsid w:val="003B4A01"/>
    <w:rsid w:val="003B4A8F"/>
    <w:rsid w:val="003B7963"/>
    <w:rsid w:val="003D4E37"/>
    <w:rsid w:val="003E63C3"/>
    <w:rsid w:val="003E76EA"/>
    <w:rsid w:val="003F7076"/>
    <w:rsid w:val="00401C31"/>
    <w:rsid w:val="00413C88"/>
    <w:rsid w:val="00414719"/>
    <w:rsid w:val="00416F81"/>
    <w:rsid w:val="00422102"/>
    <w:rsid w:val="00424D9B"/>
    <w:rsid w:val="00430667"/>
    <w:rsid w:val="004313CB"/>
    <w:rsid w:val="00440095"/>
    <w:rsid w:val="00443CB6"/>
    <w:rsid w:val="004501E0"/>
    <w:rsid w:val="004568A0"/>
    <w:rsid w:val="004712D7"/>
    <w:rsid w:val="004736EC"/>
    <w:rsid w:val="00482B36"/>
    <w:rsid w:val="00483E5A"/>
    <w:rsid w:val="00486B90"/>
    <w:rsid w:val="00487C94"/>
    <w:rsid w:val="004A10E4"/>
    <w:rsid w:val="004A1166"/>
    <w:rsid w:val="004A432B"/>
    <w:rsid w:val="004D6364"/>
    <w:rsid w:val="004D72D5"/>
    <w:rsid w:val="004E24B2"/>
    <w:rsid w:val="004E2B35"/>
    <w:rsid w:val="004F4DFA"/>
    <w:rsid w:val="004F5750"/>
    <w:rsid w:val="004F57E7"/>
    <w:rsid w:val="004F67C5"/>
    <w:rsid w:val="00500060"/>
    <w:rsid w:val="00501F04"/>
    <w:rsid w:val="00506CDD"/>
    <w:rsid w:val="005155AC"/>
    <w:rsid w:val="005156FE"/>
    <w:rsid w:val="00516F1D"/>
    <w:rsid w:val="005173CD"/>
    <w:rsid w:val="00520EF0"/>
    <w:rsid w:val="0052719A"/>
    <w:rsid w:val="00530C4C"/>
    <w:rsid w:val="00531039"/>
    <w:rsid w:val="00532F5C"/>
    <w:rsid w:val="00542C43"/>
    <w:rsid w:val="0054427C"/>
    <w:rsid w:val="005448D5"/>
    <w:rsid w:val="00544C13"/>
    <w:rsid w:val="005458BC"/>
    <w:rsid w:val="005517C1"/>
    <w:rsid w:val="00553402"/>
    <w:rsid w:val="005558C4"/>
    <w:rsid w:val="00556FA2"/>
    <w:rsid w:val="00560C1A"/>
    <w:rsid w:val="005613A2"/>
    <w:rsid w:val="005615A5"/>
    <w:rsid w:val="005619F9"/>
    <w:rsid w:val="00567804"/>
    <w:rsid w:val="00575374"/>
    <w:rsid w:val="00591FDD"/>
    <w:rsid w:val="005930FF"/>
    <w:rsid w:val="00595E4F"/>
    <w:rsid w:val="00597CA4"/>
    <w:rsid w:val="00597F55"/>
    <w:rsid w:val="005A44BA"/>
    <w:rsid w:val="005B0D5A"/>
    <w:rsid w:val="005B2989"/>
    <w:rsid w:val="005B3766"/>
    <w:rsid w:val="005B4918"/>
    <w:rsid w:val="005B63C9"/>
    <w:rsid w:val="005C529A"/>
    <w:rsid w:val="005C7B2C"/>
    <w:rsid w:val="005E4EE9"/>
    <w:rsid w:val="005F1B27"/>
    <w:rsid w:val="005F7AD9"/>
    <w:rsid w:val="00601289"/>
    <w:rsid w:val="0060346C"/>
    <w:rsid w:val="0061364A"/>
    <w:rsid w:val="00617F8D"/>
    <w:rsid w:val="006254F4"/>
    <w:rsid w:val="00627053"/>
    <w:rsid w:val="0063454C"/>
    <w:rsid w:val="006353F5"/>
    <w:rsid w:val="00635FDE"/>
    <w:rsid w:val="0064553D"/>
    <w:rsid w:val="00645D02"/>
    <w:rsid w:val="00646189"/>
    <w:rsid w:val="0064672C"/>
    <w:rsid w:val="00653EC0"/>
    <w:rsid w:val="006568FC"/>
    <w:rsid w:val="00666F6F"/>
    <w:rsid w:val="00671517"/>
    <w:rsid w:val="00676EA6"/>
    <w:rsid w:val="0069646A"/>
    <w:rsid w:val="006A19F3"/>
    <w:rsid w:val="006A2F41"/>
    <w:rsid w:val="006A5F1D"/>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5C6F"/>
    <w:rsid w:val="007161B4"/>
    <w:rsid w:val="00720793"/>
    <w:rsid w:val="007256DC"/>
    <w:rsid w:val="007266A1"/>
    <w:rsid w:val="00730979"/>
    <w:rsid w:val="00730C98"/>
    <w:rsid w:val="00735E82"/>
    <w:rsid w:val="0073607E"/>
    <w:rsid w:val="00736C6F"/>
    <w:rsid w:val="00747077"/>
    <w:rsid w:val="007505CB"/>
    <w:rsid w:val="00751269"/>
    <w:rsid w:val="00752BB0"/>
    <w:rsid w:val="00753D8E"/>
    <w:rsid w:val="00755858"/>
    <w:rsid w:val="0076095B"/>
    <w:rsid w:val="00762A7B"/>
    <w:rsid w:val="007804E9"/>
    <w:rsid w:val="00783084"/>
    <w:rsid w:val="00783B45"/>
    <w:rsid w:val="00790203"/>
    <w:rsid w:val="00797B7A"/>
    <w:rsid w:val="007A003B"/>
    <w:rsid w:val="007A7CF4"/>
    <w:rsid w:val="007C7874"/>
    <w:rsid w:val="007D12F5"/>
    <w:rsid w:val="007E108B"/>
    <w:rsid w:val="007E16CC"/>
    <w:rsid w:val="007E2F32"/>
    <w:rsid w:val="007E6B90"/>
    <w:rsid w:val="007F46CE"/>
    <w:rsid w:val="00803267"/>
    <w:rsid w:val="0080438C"/>
    <w:rsid w:val="00807DA8"/>
    <w:rsid w:val="00824E5F"/>
    <w:rsid w:val="008255E1"/>
    <w:rsid w:val="008258ED"/>
    <w:rsid w:val="008263FA"/>
    <w:rsid w:val="008268BA"/>
    <w:rsid w:val="008421E3"/>
    <w:rsid w:val="00852C07"/>
    <w:rsid w:val="00854D31"/>
    <w:rsid w:val="00860DF7"/>
    <w:rsid w:val="00864C21"/>
    <w:rsid w:val="0086502B"/>
    <w:rsid w:val="00873D07"/>
    <w:rsid w:val="008831B2"/>
    <w:rsid w:val="00892590"/>
    <w:rsid w:val="0089368F"/>
    <w:rsid w:val="0089607B"/>
    <w:rsid w:val="008A2214"/>
    <w:rsid w:val="008A2290"/>
    <w:rsid w:val="008A5C89"/>
    <w:rsid w:val="008A7E9A"/>
    <w:rsid w:val="008B433B"/>
    <w:rsid w:val="008D4586"/>
    <w:rsid w:val="008E2DB9"/>
    <w:rsid w:val="008E70E2"/>
    <w:rsid w:val="008F797D"/>
    <w:rsid w:val="00902197"/>
    <w:rsid w:val="009021C0"/>
    <w:rsid w:val="00902282"/>
    <w:rsid w:val="0091178C"/>
    <w:rsid w:val="00917E40"/>
    <w:rsid w:val="00926AAD"/>
    <w:rsid w:val="00930EDF"/>
    <w:rsid w:val="00932034"/>
    <w:rsid w:val="009347C5"/>
    <w:rsid w:val="00937528"/>
    <w:rsid w:val="009420F8"/>
    <w:rsid w:val="00955842"/>
    <w:rsid w:val="00961F14"/>
    <w:rsid w:val="009627AA"/>
    <w:rsid w:val="00967460"/>
    <w:rsid w:val="00971FD0"/>
    <w:rsid w:val="00975BD6"/>
    <w:rsid w:val="0098131A"/>
    <w:rsid w:val="00981A47"/>
    <w:rsid w:val="009849B9"/>
    <w:rsid w:val="00992E61"/>
    <w:rsid w:val="00993916"/>
    <w:rsid w:val="00995A56"/>
    <w:rsid w:val="009B0C4F"/>
    <w:rsid w:val="009C2802"/>
    <w:rsid w:val="009C6C4F"/>
    <w:rsid w:val="009D214B"/>
    <w:rsid w:val="009D2CE2"/>
    <w:rsid w:val="009D7185"/>
    <w:rsid w:val="009E347C"/>
    <w:rsid w:val="009E4056"/>
    <w:rsid w:val="009E4411"/>
    <w:rsid w:val="009E4ED9"/>
    <w:rsid w:val="009E6882"/>
    <w:rsid w:val="009F2395"/>
    <w:rsid w:val="009F6827"/>
    <w:rsid w:val="00A04391"/>
    <w:rsid w:val="00A06175"/>
    <w:rsid w:val="00A11EC4"/>
    <w:rsid w:val="00A12678"/>
    <w:rsid w:val="00A155D0"/>
    <w:rsid w:val="00A1655F"/>
    <w:rsid w:val="00A16A97"/>
    <w:rsid w:val="00A231FA"/>
    <w:rsid w:val="00A30C4D"/>
    <w:rsid w:val="00A32038"/>
    <w:rsid w:val="00A34C3B"/>
    <w:rsid w:val="00A34F71"/>
    <w:rsid w:val="00A37F8A"/>
    <w:rsid w:val="00A40815"/>
    <w:rsid w:val="00A40A05"/>
    <w:rsid w:val="00A4760E"/>
    <w:rsid w:val="00A5003B"/>
    <w:rsid w:val="00A55113"/>
    <w:rsid w:val="00A620AF"/>
    <w:rsid w:val="00A6484E"/>
    <w:rsid w:val="00A64FB8"/>
    <w:rsid w:val="00A74A87"/>
    <w:rsid w:val="00A84E7B"/>
    <w:rsid w:val="00A87523"/>
    <w:rsid w:val="00A91A27"/>
    <w:rsid w:val="00AA249E"/>
    <w:rsid w:val="00AA4577"/>
    <w:rsid w:val="00AB24D0"/>
    <w:rsid w:val="00AC2EF7"/>
    <w:rsid w:val="00AC5693"/>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5EB6"/>
    <w:rsid w:val="00B170A1"/>
    <w:rsid w:val="00B20F38"/>
    <w:rsid w:val="00B26759"/>
    <w:rsid w:val="00B32078"/>
    <w:rsid w:val="00B36913"/>
    <w:rsid w:val="00B36D00"/>
    <w:rsid w:val="00B44CA8"/>
    <w:rsid w:val="00B52633"/>
    <w:rsid w:val="00B53381"/>
    <w:rsid w:val="00B55F1C"/>
    <w:rsid w:val="00B6054E"/>
    <w:rsid w:val="00B630CC"/>
    <w:rsid w:val="00B73086"/>
    <w:rsid w:val="00B75FE7"/>
    <w:rsid w:val="00B77E24"/>
    <w:rsid w:val="00B87935"/>
    <w:rsid w:val="00BA104A"/>
    <w:rsid w:val="00BA35BF"/>
    <w:rsid w:val="00BA7BAF"/>
    <w:rsid w:val="00BA7FA8"/>
    <w:rsid w:val="00BB3C9D"/>
    <w:rsid w:val="00BC12ED"/>
    <w:rsid w:val="00BC6DBC"/>
    <w:rsid w:val="00BC7E80"/>
    <w:rsid w:val="00BD6506"/>
    <w:rsid w:val="00BE485F"/>
    <w:rsid w:val="00BE7D72"/>
    <w:rsid w:val="00BF06BA"/>
    <w:rsid w:val="00BF07B5"/>
    <w:rsid w:val="00BF47BB"/>
    <w:rsid w:val="00C03C25"/>
    <w:rsid w:val="00C12E1C"/>
    <w:rsid w:val="00C137E6"/>
    <w:rsid w:val="00C15D64"/>
    <w:rsid w:val="00C16AC5"/>
    <w:rsid w:val="00C208C3"/>
    <w:rsid w:val="00C20A9B"/>
    <w:rsid w:val="00C20EAF"/>
    <w:rsid w:val="00C221FB"/>
    <w:rsid w:val="00C25DFF"/>
    <w:rsid w:val="00C272D7"/>
    <w:rsid w:val="00C33165"/>
    <w:rsid w:val="00C333B2"/>
    <w:rsid w:val="00C33E82"/>
    <w:rsid w:val="00C34F64"/>
    <w:rsid w:val="00C36CF7"/>
    <w:rsid w:val="00C423F0"/>
    <w:rsid w:val="00C43375"/>
    <w:rsid w:val="00C44517"/>
    <w:rsid w:val="00C44DDE"/>
    <w:rsid w:val="00C54414"/>
    <w:rsid w:val="00C65F3D"/>
    <w:rsid w:val="00C66DC9"/>
    <w:rsid w:val="00C7741F"/>
    <w:rsid w:val="00C82C5D"/>
    <w:rsid w:val="00C837AE"/>
    <w:rsid w:val="00CA37D6"/>
    <w:rsid w:val="00CB5BED"/>
    <w:rsid w:val="00CB644F"/>
    <w:rsid w:val="00CC34F3"/>
    <w:rsid w:val="00CC505C"/>
    <w:rsid w:val="00CD00CA"/>
    <w:rsid w:val="00CD4737"/>
    <w:rsid w:val="00CD6A95"/>
    <w:rsid w:val="00CE0AD9"/>
    <w:rsid w:val="00CE5AB9"/>
    <w:rsid w:val="00CF035F"/>
    <w:rsid w:val="00CF1CA9"/>
    <w:rsid w:val="00CF3842"/>
    <w:rsid w:val="00CF7DB1"/>
    <w:rsid w:val="00D0137B"/>
    <w:rsid w:val="00D01A09"/>
    <w:rsid w:val="00D033D4"/>
    <w:rsid w:val="00D1005C"/>
    <w:rsid w:val="00D33C7B"/>
    <w:rsid w:val="00D34671"/>
    <w:rsid w:val="00D43FB9"/>
    <w:rsid w:val="00D50D96"/>
    <w:rsid w:val="00D536EF"/>
    <w:rsid w:val="00D55051"/>
    <w:rsid w:val="00D600C8"/>
    <w:rsid w:val="00D6344D"/>
    <w:rsid w:val="00D63BC5"/>
    <w:rsid w:val="00D64E7F"/>
    <w:rsid w:val="00D73751"/>
    <w:rsid w:val="00D749E5"/>
    <w:rsid w:val="00D74E46"/>
    <w:rsid w:val="00D805C6"/>
    <w:rsid w:val="00D90100"/>
    <w:rsid w:val="00D91899"/>
    <w:rsid w:val="00DA1485"/>
    <w:rsid w:val="00DA3F27"/>
    <w:rsid w:val="00DC325C"/>
    <w:rsid w:val="00DC6F25"/>
    <w:rsid w:val="00DC7124"/>
    <w:rsid w:val="00DE0A73"/>
    <w:rsid w:val="00DE29FE"/>
    <w:rsid w:val="00DE4E89"/>
    <w:rsid w:val="00DE5A6D"/>
    <w:rsid w:val="00DE7EF8"/>
    <w:rsid w:val="00E0322A"/>
    <w:rsid w:val="00E13B5F"/>
    <w:rsid w:val="00E15877"/>
    <w:rsid w:val="00E16318"/>
    <w:rsid w:val="00E209E8"/>
    <w:rsid w:val="00E25196"/>
    <w:rsid w:val="00E30795"/>
    <w:rsid w:val="00E35998"/>
    <w:rsid w:val="00E42604"/>
    <w:rsid w:val="00E47B53"/>
    <w:rsid w:val="00E62666"/>
    <w:rsid w:val="00E64440"/>
    <w:rsid w:val="00E732A5"/>
    <w:rsid w:val="00E75C44"/>
    <w:rsid w:val="00E83A96"/>
    <w:rsid w:val="00E86BF0"/>
    <w:rsid w:val="00E90BEB"/>
    <w:rsid w:val="00E940E2"/>
    <w:rsid w:val="00EA10F9"/>
    <w:rsid w:val="00EA311F"/>
    <w:rsid w:val="00EA31B7"/>
    <w:rsid w:val="00EA372F"/>
    <w:rsid w:val="00EA5804"/>
    <w:rsid w:val="00EA76E1"/>
    <w:rsid w:val="00EB5DEA"/>
    <w:rsid w:val="00EB66F9"/>
    <w:rsid w:val="00EC5046"/>
    <w:rsid w:val="00EC7C82"/>
    <w:rsid w:val="00EE26C6"/>
    <w:rsid w:val="00EE29E1"/>
    <w:rsid w:val="00EF1179"/>
    <w:rsid w:val="00EF2714"/>
    <w:rsid w:val="00F01335"/>
    <w:rsid w:val="00F043A1"/>
    <w:rsid w:val="00F135F1"/>
    <w:rsid w:val="00F1468B"/>
    <w:rsid w:val="00F24541"/>
    <w:rsid w:val="00F305A3"/>
    <w:rsid w:val="00F3648B"/>
    <w:rsid w:val="00F40C35"/>
    <w:rsid w:val="00F4793B"/>
    <w:rsid w:val="00F55676"/>
    <w:rsid w:val="00F5593B"/>
    <w:rsid w:val="00F64E11"/>
    <w:rsid w:val="00F65F6E"/>
    <w:rsid w:val="00F66E5C"/>
    <w:rsid w:val="00F70207"/>
    <w:rsid w:val="00F709E6"/>
    <w:rsid w:val="00F74A58"/>
    <w:rsid w:val="00F768B9"/>
    <w:rsid w:val="00F76A80"/>
    <w:rsid w:val="00F76D57"/>
    <w:rsid w:val="00F80E57"/>
    <w:rsid w:val="00F825AE"/>
    <w:rsid w:val="00F92100"/>
    <w:rsid w:val="00F9640C"/>
    <w:rsid w:val="00FA12F3"/>
    <w:rsid w:val="00FA364A"/>
    <w:rsid w:val="00FA4A94"/>
    <w:rsid w:val="00FA593F"/>
    <w:rsid w:val="00FA6006"/>
    <w:rsid w:val="00FB2327"/>
    <w:rsid w:val="00FC18EC"/>
    <w:rsid w:val="00FC500B"/>
    <w:rsid w:val="00FD39B8"/>
    <w:rsid w:val="00FD79AC"/>
    <w:rsid w:val="00FE287E"/>
    <w:rsid w:val="00FE4DE0"/>
    <w:rsid w:val="00FE5448"/>
    <w:rsid w:val="00FE57E1"/>
    <w:rsid w:val="079E0F72"/>
    <w:rsid w:val="142A3533"/>
    <w:rsid w:val="14394722"/>
    <w:rsid w:val="17610DF0"/>
    <w:rsid w:val="1C246025"/>
    <w:rsid w:val="227A0AD7"/>
    <w:rsid w:val="23097387"/>
    <w:rsid w:val="2657698C"/>
    <w:rsid w:val="2BEB4504"/>
    <w:rsid w:val="37C60190"/>
    <w:rsid w:val="48333D0C"/>
    <w:rsid w:val="55C022BA"/>
    <w:rsid w:val="705D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9"/>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2"/>
    <w:semiHidden/>
    <w:unhideWhenUsed/>
    <w:qFormat/>
    <w:uiPriority w:val="99"/>
    <w:pPr>
      <w:jc w:val="left"/>
    </w:pPr>
  </w:style>
  <w:style w:type="paragraph" w:styleId="6">
    <w:name w:val="Body Text"/>
    <w:basedOn w:val="1"/>
    <w:next w:val="1"/>
    <w:link w:val="18"/>
    <w:qFormat/>
    <w:uiPriority w:val="0"/>
    <w:pPr>
      <w:jc w:val="center"/>
    </w:pPr>
    <w:rPr>
      <w:sz w:val="44"/>
    </w:rPr>
  </w:style>
  <w:style w:type="paragraph" w:styleId="7">
    <w:name w:val="Date"/>
    <w:basedOn w:val="1"/>
    <w:next w:val="1"/>
    <w:link w:val="20"/>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rPr>
  </w:style>
  <w:style w:type="paragraph" w:styleId="12">
    <w:name w:val="annotation subject"/>
    <w:basedOn w:val="5"/>
    <w:next w:val="5"/>
    <w:link w:val="23"/>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6"/>
    <w:qFormat/>
    <w:uiPriority w:val="0"/>
    <w:rPr>
      <w:rFonts w:ascii="Times New Roman" w:hAnsi="Times New Roman" w:eastAsia="仿宋_GB2312" w:cs="Times New Roman"/>
      <w:sz w:val="44"/>
      <w:szCs w:val="24"/>
    </w:rPr>
  </w:style>
  <w:style w:type="character" w:customStyle="1" w:styleId="19">
    <w:name w:val="正文文本缩进 2 Char"/>
    <w:basedOn w:val="14"/>
    <w:link w:val="2"/>
    <w:semiHidden/>
    <w:qFormat/>
    <w:uiPriority w:val="99"/>
    <w:rPr>
      <w:rFonts w:ascii="Times New Roman" w:hAnsi="Times New Roman" w:eastAsia="仿宋_GB2312" w:cs="Times New Roman"/>
      <w:sz w:val="32"/>
      <w:szCs w:val="24"/>
    </w:rPr>
  </w:style>
  <w:style w:type="character" w:customStyle="1" w:styleId="20">
    <w:name w:val="日期 Char"/>
    <w:basedOn w:val="14"/>
    <w:link w:val="7"/>
    <w:qFormat/>
    <w:uiPriority w:val="99"/>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style>
  <w:style w:type="character" w:customStyle="1" w:styleId="22">
    <w:name w:val="批注文字 Char"/>
    <w:basedOn w:val="14"/>
    <w:link w:val="5"/>
    <w:semiHidden/>
    <w:qFormat/>
    <w:uiPriority w:val="99"/>
    <w:rPr>
      <w:rFonts w:ascii="Times New Roman" w:hAnsi="Times New Roman" w:eastAsia="仿宋_GB2312" w:cs="Times New Roman"/>
      <w:sz w:val="32"/>
      <w:szCs w:val="24"/>
    </w:rPr>
  </w:style>
  <w:style w:type="character" w:customStyle="1" w:styleId="23">
    <w:name w:val="批注主题 Char"/>
    <w:basedOn w:val="22"/>
    <w:link w:val="12"/>
    <w:semiHidden/>
    <w:qFormat/>
    <w:uiPriority w:val="99"/>
    <w:rPr>
      <w:rFonts w:ascii="Times New Roman" w:hAnsi="Times New Roman" w:eastAsia="仿宋_GB2312" w:cs="Times New Roman"/>
      <w:b/>
      <w:bCs/>
      <w:sz w:val="32"/>
      <w:szCs w:val="24"/>
    </w:rPr>
  </w:style>
  <w:style w:type="character" w:customStyle="1" w:styleId="24">
    <w:name w:val="批注框文本 Char"/>
    <w:basedOn w:val="14"/>
    <w:link w:val="8"/>
    <w:semiHidden/>
    <w:qFormat/>
    <w:uiPriority w:val="99"/>
    <w:rPr>
      <w:rFonts w:ascii="Times New Roman" w:hAnsi="Times New Roman" w:eastAsia="仿宋_GB2312" w:cs="Times New Roman"/>
      <w:sz w:val="18"/>
      <w:szCs w:val="18"/>
    </w:rPr>
  </w:style>
  <w:style w:type="paragraph" w:customStyle="1" w:styleId="25">
    <w:name w:val="正文1"/>
    <w:basedOn w:val="1"/>
    <w:qFormat/>
    <w:uiPriority w:val="0"/>
    <w:pPr>
      <w:spacing w:line="360" w:lineRule="auto"/>
      <w:ind w:firstLine="20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2686</Words>
  <Characters>2876</Characters>
  <Lines>20</Lines>
  <Paragraphs>5</Paragraphs>
  <TotalTime>16</TotalTime>
  <ScaleCrop>false</ScaleCrop>
  <LinksUpToDate>false</LinksUpToDate>
  <CharactersWithSpaces>2913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2024-12-03T03:15:00Z</dcterms:created>
  <dc:creator>ASUS</dc:creator>
  <cp:lastModifiedBy>耿振发</cp:lastModifiedBy>
  <cp:lastPrinted>2024-12-03T03:59:30Z</cp:lastPrinted>
  <dcterms:modified xsi:type="dcterms:W3CDTF">2024-12-03T06:47:17Z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B2F7E5BB0F7C4BF8A8756CCD11A2F10E_13</vt:lpwstr>
  </property>
</Properties>
</file>