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jc w:val="center"/>
        <w:rPr>
          <w:rFonts w:ascii="Times New Roman" w:hAnsi="Times New Roman" w:eastAsia="方正仿宋_GBK" w:cs="Times New Roman"/>
          <w:sz w:val="32"/>
          <w:szCs w:val="32"/>
        </w:rPr>
      </w:pPr>
    </w:p>
    <w:p>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曲富环发〔2024〕15号</w:t>
      </w:r>
    </w:p>
    <w:p>
      <w:pPr>
        <w:spacing w:line="600" w:lineRule="exact"/>
        <w:ind w:firstLine="880"/>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曲靖市生态环境局富源分局关于核准“富源</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锦鸿金属制品有限公司年产30万吨</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再生铝项目”污染物排放总量指标</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来源的意见</w:t>
      </w:r>
    </w:p>
    <w:p>
      <w:pPr>
        <w:spacing w:line="600" w:lineRule="exact"/>
        <w:ind w:firstLine="420"/>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富源锦鸿金属制品有限公司：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你公司报送的《富源锦鸿金属制品有限公司年产30万吨再生铝项目污染物排放总量指标的申请》收悉，经研究，提出如下意见：</w:t>
      </w:r>
    </w:p>
    <w:p>
      <w:pPr>
        <w:pStyle w:val="12"/>
        <w:numPr>
          <w:ilvl w:val="0"/>
          <w:numId w:val="1"/>
        </w:numPr>
        <w:spacing w:line="600" w:lineRule="exact"/>
        <w:ind w:firstLine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项目基本情况</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富源锦鸿金属制品有限公司年产30万吨再生铝项目于2022年1月7日取得富源县发展和改革局备案（项目代码：2019-530325-42-03-049043）。根据富源锦鸿金属制品有限公司委托云南湖柏环保科技有限公司编制完成的《富源锦鸿金属制品有限公司年产30万吨再生铝建设项目环境影响报告书》，项目有组织废气主要污染物排放量为：颗粒物22.614t/a，二氧化硫3.564t/a，氮氧化物</w:t>
      </w:r>
      <w:r>
        <w:rPr>
          <w:rFonts w:hint="eastAsia" w:ascii="Times New Roman" w:hAnsi="Times New Roman" w:eastAsia="方正仿宋_GBK" w:cs="Times New Roman"/>
          <w:sz w:val="32"/>
          <w:szCs w:val="32"/>
          <w:highlight w:val="yellow"/>
        </w:rPr>
        <w:t>53.46</w:t>
      </w:r>
      <w:r>
        <w:rPr>
          <w:rFonts w:ascii="Times New Roman" w:hAnsi="Times New Roman" w:eastAsia="方正仿宋_GBK" w:cs="Times New Roman"/>
          <w:sz w:val="32"/>
          <w:szCs w:val="32"/>
          <w:highlight w:val="yellow"/>
        </w:rPr>
        <w:t>t/a，</w:t>
      </w:r>
      <w:r>
        <w:rPr>
          <w:rFonts w:ascii="Times New Roman" w:hAnsi="Times New Roman" w:eastAsia="方正仿宋_GBK" w:cs="Times New Roman"/>
          <w:sz w:val="32"/>
          <w:szCs w:val="32"/>
        </w:rPr>
        <w:t>氯化氢</w:t>
      </w:r>
      <w:r>
        <w:rPr>
          <w:rFonts w:ascii="Times New Roman" w:hAnsi="Times New Roman" w:eastAsia="仿宋" w:cs="Times New Roman"/>
          <w:sz w:val="32"/>
          <w:szCs w:val="32"/>
        </w:rPr>
        <w:t>10.905</w:t>
      </w:r>
      <w:r>
        <w:rPr>
          <w:rFonts w:ascii="Times New Roman" w:hAnsi="Times New Roman" w:eastAsia="方正仿宋_GBK" w:cs="Times New Roman"/>
          <w:sz w:val="32"/>
          <w:szCs w:val="32"/>
        </w:rPr>
        <w:t>t/a，氟化物</w:t>
      </w:r>
      <w:r>
        <w:rPr>
          <w:rFonts w:ascii="Times New Roman" w:hAnsi="Times New Roman" w:eastAsia="仿宋" w:cs="Times New Roman"/>
          <w:sz w:val="32"/>
          <w:szCs w:val="32"/>
        </w:rPr>
        <w:t>2.874</w:t>
      </w:r>
      <w:r>
        <w:rPr>
          <w:rFonts w:ascii="Times New Roman" w:hAnsi="Times New Roman" w:eastAsia="方正仿宋_GBK" w:cs="Times New Roman"/>
          <w:sz w:val="32"/>
          <w:szCs w:val="32"/>
        </w:rPr>
        <w:t>t/a、铅</w:t>
      </w:r>
      <w:r>
        <w:rPr>
          <w:rFonts w:ascii="Times New Roman" w:hAnsi="Times New Roman" w:eastAsia="仿宋" w:cs="Times New Roman"/>
          <w:sz w:val="32"/>
          <w:szCs w:val="32"/>
        </w:rPr>
        <w:t>0.0312</w:t>
      </w:r>
      <w:r>
        <w:rPr>
          <w:rFonts w:ascii="Times New Roman" w:hAnsi="Times New Roman" w:eastAsia="方正仿宋_GBK" w:cs="Times New Roman"/>
          <w:sz w:val="32"/>
          <w:szCs w:val="32"/>
        </w:rPr>
        <w:t>t/a，铬</w:t>
      </w:r>
      <w:r>
        <w:rPr>
          <w:rFonts w:ascii="Times New Roman" w:hAnsi="Times New Roman" w:eastAsia="仿宋" w:cs="Times New Roman"/>
          <w:sz w:val="32"/>
          <w:szCs w:val="32"/>
        </w:rPr>
        <w:t>0.000642</w:t>
      </w:r>
      <w:r>
        <w:rPr>
          <w:rFonts w:ascii="Times New Roman" w:hAnsi="Times New Roman" w:eastAsia="方正仿宋_GBK" w:cs="Times New Roman"/>
          <w:sz w:val="32"/>
          <w:szCs w:val="32"/>
        </w:rPr>
        <w:t>t/a，砷</w:t>
      </w:r>
      <w:r>
        <w:rPr>
          <w:rFonts w:ascii="Times New Roman" w:hAnsi="Times New Roman" w:eastAsia="仿宋" w:cs="Times New Roman"/>
          <w:sz w:val="32"/>
          <w:szCs w:val="32"/>
        </w:rPr>
        <w:t>0.000429</w:t>
      </w:r>
      <w:r>
        <w:rPr>
          <w:rFonts w:ascii="Times New Roman" w:hAnsi="Times New Roman" w:eastAsia="方正仿宋_GBK" w:cs="Times New Roman"/>
          <w:sz w:val="32"/>
          <w:szCs w:val="32"/>
        </w:rPr>
        <w:t>t/a，镉</w:t>
      </w:r>
      <w:r>
        <w:rPr>
          <w:rFonts w:ascii="Times New Roman" w:hAnsi="Times New Roman" w:eastAsia="仿宋" w:cs="Times New Roman"/>
          <w:sz w:val="32"/>
          <w:szCs w:val="32"/>
        </w:rPr>
        <w:t>0.000837</w:t>
      </w:r>
      <w:r>
        <w:rPr>
          <w:rFonts w:ascii="Times New Roman" w:hAnsi="Times New Roman" w:eastAsia="方正仿宋_GBK" w:cs="Times New Roman"/>
          <w:sz w:val="32"/>
          <w:szCs w:val="32"/>
        </w:rPr>
        <w:t>t/a，锡</w:t>
      </w:r>
      <w:r>
        <w:rPr>
          <w:rFonts w:ascii="Times New Roman" w:hAnsi="Times New Roman" w:eastAsia="仿宋" w:cs="Times New Roman"/>
          <w:sz w:val="32"/>
          <w:szCs w:val="32"/>
        </w:rPr>
        <w:t>0.000471</w:t>
      </w:r>
      <w:r>
        <w:rPr>
          <w:rFonts w:ascii="Times New Roman" w:hAnsi="Times New Roman" w:eastAsia="方正仿宋_GBK" w:cs="Times New Roman"/>
          <w:sz w:val="32"/>
          <w:szCs w:val="32"/>
        </w:rPr>
        <w:t>t/a，二噁英4.92×10</w:t>
      </w:r>
      <w:r>
        <w:rPr>
          <w:rFonts w:ascii="Times New Roman" w:hAnsi="Times New Roman" w:eastAsia="方正仿宋_GBK" w:cs="Times New Roman"/>
          <w:sz w:val="32"/>
          <w:szCs w:val="32"/>
          <w:vertAlign w:val="superscript"/>
        </w:rPr>
        <w:t>-5</w:t>
      </w:r>
      <w:r>
        <w:rPr>
          <w:rFonts w:ascii="Times New Roman" w:hAnsi="Times New Roman" w:eastAsia="方正仿宋_GBK" w:cs="Times New Roman"/>
          <w:sz w:val="32"/>
          <w:szCs w:val="32"/>
        </w:rPr>
        <w:t>kgTEQ/a。</w:t>
      </w:r>
    </w:p>
    <w:p>
      <w:pPr>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rPr>
        <w:t>、项目主要污染物区域削减指标替代方案</w:t>
      </w:r>
    </w:p>
    <w:p>
      <w:pPr>
        <w:spacing w:line="600" w:lineRule="exact"/>
        <w:ind w:firstLine="480" w:firstLineChars="150"/>
        <w:rPr>
          <w:rFonts w:ascii="Times New Roman" w:hAnsi="Times New Roman" w:eastAsia="方正仿宋_GBK" w:cs="Times New Roman"/>
          <w:sz w:val="32"/>
          <w:szCs w:val="32"/>
        </w:rPr>
      </w:pPr>
      <w:r>
        <w:rPr>
          <w:rFonts w:ascii="Times New Roman" w:hAnsi="Times New Roman" w:eastAsia="方正仿宋_GBK" w:cs="Times New Roman"/>
          <w:sz w:val="32"/>
          <w:szCs w:val="32"/>
        </w:rPr>
        <w:t>该项目颗粒物区域削减总量指标来源于富源县营上镇正雄煤矸石砖厂、富源县营上镇河东煤矿红紫塘煤矸石砖厂；二氧化硫区域削减总量指标来源于富源县营上镇正雄煤矸石砖厂；氮氧化物区域削减总量指标来源于富源县营上镇正雄煤矸石砖厂、富源县营上镇河东煤矿红紫塘煤矸石砖厂及富源县后所镇宣富煤矸石砖厂。富源县营上镇正雄煤矸石砖厂、富源县营上镇河东煤矿红紫塘煤矸石砖厂颗粒物区域削减总量为39 t/a；富源县营上镇正雄煤矸石砖厂二氧化硫区域削减总量为367.2 t/a；富源县营上镇正雄煤矸石砖厂、富源县营上镇河东煤矿红紫塘煤矸石砖厂及富源县后所镇宣富煤矸石砖厂氮氧化物区域削减总量73.44t/a；以上削减总量指标均能满足项目区域削减替代方案。具体指标来源情况如下：</w:t>
      </w:r>
    </w:p>
    <w:p>
      <w:pPr>
        <w:spacing w:line="600" w:lineRule="exact"/>
        <w:ind w:firstLine="480" w:firstLineChars="15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富源县营上镇正雄煤矸石砖厂：生产线为年产3000万块煤矸石烧结砖的轮窑，</w:t>
      </w:r>
      <w:r>
        <w:rPr>
          <w:rFonts w:hint="eastAsia" w:ascii="Times New Roman" w:hAnsi="Times New Roman" w:eastAsia="方正仿宋_GBK" w:cs="Times New Roman"/>
          <w:sz w:val="32"/>
          <w:szCs w:val="32"/>
        </w:rPr>
        <w:t>2006年9月19日富源县环境保护局以富环许准[2006]179号批复项目环评，环评核算及环评批复核定二氧化硫排放总量25.2</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，未核算核定颗粒物、氮氧化物排放总量；2019年4月10日曲靖市生态环境局富源分局核发的排污许可证（编号：53032520190410C0087Y）核定颗粒物排放总量为14.63</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、二氧化硫排放总量25.2</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、氮氧化物排放总量41.45</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2022年12月富源县营上镇正雄煤矸石砖厂轮窑生产线已拆除。根据《主要污染物总量减排核算技术指南》（2022年修订），由于项目未安装自动监控，采用产污系数法进行核算（《排放源统计调查产排污核算方法和系数手册》303砖瓦、石材等建筑材料制造行业系数手册），3000万块煤矸石砖厂二氧化硫削减量按系数核算为367.2t/a，颗粒物削减量按系数核算为19.5t/a，氮氧化物削减量按系数核算为24.48t/a。</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富源县营上镇河东煤矿红紫塘煤矸石砖厂：生产线为年产3000万块煤矸石烧结砖的轮窑，</w:t>
      </w:r>
      <w:r>
        <w:rPr>
          <w:rFonts w:hint="eastAsia" w:ascii="Times New Roman" w:hAnsi="Times New Roman" w:eastAsia="方正仿宋_GBK" w:cs="Times New Roman"/>
          <w:sz w:val="32"/>
          <w:szCs w:val="32"/>
        </w:rPr>
        <w:t>2007年3月12日富源县环境保护局以富环许准[2007]33号批复项目环评，环评核算及环评批复核定二氧化硫排放总量7.38</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，未核算核定颗粒物、氮氧化物排放总量；2019年1月21日曲靖市生态环境局富源分局核发的排污许可证（编号：53032520190121C0142Y）核定颗粒物排放总量为11.07</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、二氧化硫排放总量7.38</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、氮氧化物排放总量22.14</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2022年6月富源县营上镇河东煤矿红紫塘煤矸石砖厂轮窑生产线已拆除。根据《主要污染物总量减排核算技术指南》（2022年修订），由于项目未安装自动监控，采用产污系数法进行核算（《排放源统计调查产排污核算方法和系数手册》303砖瓦、石材等建筑材料制造行业系数手册），3000万块煤矸石砖厂二氧化硫削减量按系数核算为367.2t/a，颗粒物削减量按系数核算为19.5t/a，氮氧化物削减量按系数核算为24.48t/a。</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富源县后所镇宣富煤矸石砖厂：生产线为年产3000万块煤矸石烧结砖的轮窑，</w:t>
      </w:r>
      <w:r>
        <w:rPr>
          <w:rFonts w:hint="eastAsia" w:ascii="Times New Roman" w:hAnsi="Times New Roman" w:eastAsia="方正仿宋_GBK" w:cs="Times New Roman"/>
          <w:sz w:val="32"/>
          <w:szCs w:val="32"/>
        </w:rPr>
        <w:t>2008年12月19日富源县环境保护局以富环许准[2008]138号批复项目环评，环评核算及环评批复核定二氧化硫排放总量14.2</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，未核算核定颗粒物、氮氧化物排放总量；2019年3月17日曲靖市生态环境局富源分局核发的排污许可证（编号：53032520190317C7）核定颗粒物排放总量为12.94</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、二氧化硫排放总量14.2</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、氮氧化物排放总量31.06</w:t>
      </w:r>
      <w:r>
        <w:rPr>
          <w:rFonts w:ascii="Times New Roman" w:hAnsi="Times New Roman" w:eastAsia="方正仿宋_GBK" w:cs="Times New Roman"/>
          <w:sz w:val="32"/>
          <w:szCs w:val="32"/>
        </w:rPr>
        <w:t>t/a</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2022年12月富源县后所镇宣富煤矸石砖厂轮窑生产线已拆除。根据《主要污染物总量减排核算技术指南》（2022年修订），由于项目未安装自动监控，采用产污系数法进行核算（《排放源统计调查产排污核算方法和系数手册》303砖瓦、石材等建筑材料制造行业系数手册），3000万块煤矸石砖厂二氧化硫削减量按系数核算为367.2t/a，颗粒物削减量按系数核算为19.5t/a，氮氧化物削减量按系数核算为24.48t/a。</w:t>
      </w:r>
    </w:p>
    <w:p>
      <w:pPr>
        <w:spacing w:line="600" w:lineRule="exact"/>
        <w:ind w:firstLine="616" w:firstLineChars="200"/>
        <w:rPr>
          <w:rFonts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三、其他指标（氯化氢、氟化物、重金属及二噁英）情况说明</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1.根据《关于进一步加强重金属污染防控的意见》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环固体</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17号）文件精神，再生铝冶炼不属于重金属污染防治重点行业，且富源县不属于重金属防治重点区域，环评审批不受重金属污染排放总量减排的限制。</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按照国家现行污染物总量减排相关规定，氯化氢、氟化物及二噁英没有纳入总量控制指标，暂不涉及指标替代。</w:t>
      </w:r>
    </w:p>
    <w:p>
      <w:pPr>
        <w:spacing w:line="600" w:lineRule="exact"/>
      </w:pPr>
    </w:p>
    <w:p>
      <w:pPr>
        <w:spacing w:line="600" w:lineRule="exact"/>
      </w:pPr>
    </w:p>
    <w:p>
      <w:pPr>
        <w:spacing w:line="600" w:lineRule="exact"/>
      </w:pPr>
    </w:p>
    <w:p>
      <w:pPr>
        <w:spacing w:line="600" w:lineRule="exact"/>
        <w:ind w:firstLine="3840" w:firstLineChars="1200"/>
        <w:rPr>
          <w:rFonts w:ascii="Times New Roman" w:hAnsi="Times New Roman" w:eastAsia="方正仿宋_GBK" w:cs="Times New Roman"/>
          <w:sz w:val="32"/>
          <w:szCs w:val="32"/>
        </w:rPr>
      </w:pPr>
      <w:r>
        <w:rPr>
          <w:rFonts w:ascii="Times New Roman" w:hAnsi="Times New Roman" w:eastAsia="方正仿宋_GBK" w:cs="Times New Roman"/>
          <w:sz w:val="32"/>
          <w:szCs w:val="32"/>
        </w:rPr>
        <w:t>曲靖市生态环境局富源分局</w:t>
      </w:r>
    </w:p>
    <w:p>
      <w:pPr>
        <w:spacing w:line="600" w:lineRule="exact"/>
        <w:ind w:firstLine="4480" w:firstLineChars="1400"/>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2024年3月19日</w:t>
      </w:r>
    </w:p>
    <w:p>
      <w:pPr>
        <w:spacing w:line="600" w:lineRule="exact"/>
        <w:ind w:firstLine="3520" w:firstLineChars="1100"/>
        <w:rPr>
          <w:rFonts w:ascii="Times New Roman" w:hAnsi="Times New Roman" w:eastAsia="方正仿宋_GBK" w:cs="Times New Roman"/>
          <w:sz w:val="32"/>
          <w:szCs w:val="32"/>
        </w:rPr>
      </w:pPr>
    </w:p>
    <w:p>
      <w:pPr>
        <w:spacing w:line="600" w:lineRule="exact"/>
        <w:ind w:firstLine="3520" w:firstLineChars="1100"/>
        <w:rPr>
          <w:rFonts w:ascii="Times New Roman" w:hAnsi="Times New Roman" w:eastAsia="方正仿宋_GBK" w:cs="Times New Roman"/>
          <w:sz w:val="32"/>
          <w:szCs w:val="32"/>
        </w:rPr>
      </w:pPr>
    </w:p>
    <w:p>
      <w:pPr>
        <w:pStyle w:val="5"/>
        <w:spacing w:line="600" w:lineRule="exact"/>
        <w:ind w:firstLine="0"/>
        <w:rPr>
          <w:rFonts w:ascii="Times New Roman" w:hAnsi="Times New Roman" w:eastAsia="方正仿宋_GBK" w:cs="Times New Roman"/>
          <w:color w:val="auto"/>
          <w:kern w:val="0"/>
          <w:sz w:val="32"/>
          <w:szCs w:val="32"/>
        </w:rPr>
      </w:pPr>
    </w:p>
    <w:p>
      <w:pPr>
        <w:pStyle w:val="5"/>
        <w:spacing w:line="600" w:lineRule="exact"/>
        <w:ind w:firstLine="0"/>
        <w:rPr>
          <w:rFonts w:ascii="Times New Roman" w:hAnsi="Times New Roman" w:eastAsia="方正仿宋_GBK" w:cs="Times New Roman"/>
          <w:color w:val="auto"/>
          <w:kern w:val="0"/>
          <w:sz w:val="32"/>
          <w:szCs w:val="32"/>
        </w:rPr>
      </w:pPr>
    </w:p>
    <w:p>
      <w:pPr>
        <w:pStyle w:val="5"/>
        <w:spacing w:line="600" w:lineRule="exact"/>
        <w:ind w:firstLine="0"/>
        <w:rPr>
          <w:rFonts w:ascii="Times New Roman" w:hAnsi="Times New Roman" w:eastAsia="方正仿宋_GBK" w:cs="Times New Roman"/>
          <w:color w:val="auto"/>
          <w:kern w:val="0"/>
          <w:sz w:val="32"/>
          <w:szCs w:val="32"/>
        </w:rPr>
      </w:pPr>
    </w:p>
    <w:p>
      <w:pPr>
        <w:pStyle w:val="5"/>
        <w:spacing w:line="600" w:lineRule="exact"/>
        <w:ind w:firstLine="0"/>
        <w:rPr>
          <w:rFonts w:ascii="Times New Roman" w:hAnsi="Times New Roman" w:eastAsia="方正仿宋_GBK" w:cs="Times New Roman"/>
          <w:color w:val="auto"/>
          <w:kern w:val="0"/>
          <w:sz w:val="32"/>
          <w:szCs w:val="32"/>
        </w:rPr>
      </w:pPr>
    </w:p>
    <w:p>
      <w:pPr>
        <w:pStyle w:val="5"/>
        <w:spacing w:line="600" w:lineRule="exact"/>
        <w:ind w:firstLine="0"/>
        <w:rPr>
          <w:rFonts w:ascii="Times New Roman" w:hAnsi="Times New Roman" w:eastAsia="方正仿宋_GBK" w:cs="Times New Roman"/>
          <w:color w:val="auto"/>
          <w:kern w:val="0"/>
          <w:sz w:val="32"/>
          <w:szCs w:val="32"/>
        </w:rPr>
      </w:pPr>
    </w:p>
    <w:p>
      <w:pPr>
        <w:pStyle w:val="5"/>
        <w:spacing w:line="600" w:lineRule="exact"/>
        <w:ind w:firstLine="0"/>
        <w:rPr>
          <w:rFonts w:ascii="Times New Roman" w:hAnsi="Times New Roman" w:eastAsia="方正仿宋_GBK" w:cs="Times New Roman"/>
          <w:color w:val="auto"/>
          <w:kern w:val="0"/>
          <w:sz w:val="32"/>
          <w:szCs w:val="32"/>
        </w:rPr>
      </w:pPr>
    </w:p>
    <w:p>
      <w:pPr>
        <w:pStyle w:val="5"/>
        <w:spacing w:line="600" w:lineRule="exact"/>
        <w:ind w:firstLine="0"/>
        <w:rPr>
          <w:rFonts w:ascii="Times New Roman" w:hAnsi="Times New Roman" w:eastAsia="方正仿宋_GBK" w:cs="Times New Roman"/>
          <w:color w:val="auto"/>
          <w:sz w:val="32"/>
          <w:szCs w:val="32"/>
        </w:rPr>
      </w:pPr>
      <w:bookmarkStart w:id="0" w:name="_GoBack"/>
      <w:bookmarkEnd w:id="0"/>
    </w:p>
    <w:sectPr>
      <w:footerReference r:id="rId3" w:type="default"/>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18030">
    <w:altName w:val="Courier New"/>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joinstyle="miter"/>
          <v:imagedata o:title=""/>
          <o:lock v:ext="edit"/>
          <v:textbox inset="0mm,0mm,0mm,0mm" style="mso-fit-shape-to-text:t;">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B4C42"/>
    <w:multiLevelType w:val="multilevel"/>
    <w:tmpl w:val="0FFB4C4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5MjUzYWYxYjc0YmQzZDE1Mjk4OThkMzQ2NTQ1MTYifQ=="/>
  </w:docVars>
  <w:rsids>
    <w:rsidRoot w:val="006F7403"/>
    <w:rsid w:val="0000140B"/>
    <w:rsid w:val="00012828"/>
    <w:rsid w:val="00051444"/>
    <w:rsid w:val="00086791"/>
    <w:rsid w:val="000B609B"/>
    <w:rsid w:val="00152FC7"/>
    <w:rsid w:val="001543AB"/>
    <w:rsid w:val="001D41CD"/>
    <w:rsid w:val="001E4B13"/>
    <w:rsid w:val="00222A94"/>
    <w:rsid w:val="0023781A"/>
    <w:rsid w:val="002460F2"/>
    <w:rsid w:val="00266341"/>
    <w:rsid w:val="002674CD"/>
    <w:rsid w:val="00281500"/>
    <w:rsid w:val="00282CCD"/>
    <w:rsid w:val="00295E85"/>
    <w:rsid w:val="002B345C"/>
    <w:rsid w:val="002B5C74"/>
    <w:rsid w:val="002F26EC"/>
    <w:rsid w:val="00331006"/>
    <w:rsid w:val="003428EC"/>
    <w:rsid w:val="00353856"/>
    <w:rsid w:val="0036312B"/>
    <w:rsid w:val="003641D1"/>
    <w:rsid w:val="0038204A"/>
    <w:rsid w:val="00385E4B"/>
    <w:rsid w:val="003C7EA4"/>
    <w:rsid w:val="003D68C5"/>
    <w:rsid w:val="003E22F1"/>
    <w:rsid w:val="00411A98"/>
    <w:rsid w:val="004304D0"/>
    <w:rsid w:val="00443A67"/>
    <w:rsid w:val="004A5007"/>
    <w:rsid w:val="004C3021"/>
    <w:rsid w:val="004C52E4"/>
    <w:rsid w:val="004F4AE4"/>
    <w:rsid w:val="005449E8"/>
    <w:rsid w:val="005810DB"/>
    <w:rsid w:val="00587AB5"/>
    <w:rsid w:val="00591D4C"/>
    <w:rsid w:val="0066729A"/>
    <w:rsid w:val="00681F47"/>
    <w:rsid w:val="006B21D9"/>
    <w:rsid w:val="006C0696"/>
    <w:rsid w:val="006F7403"/>
    <w:rsid w:val="007541FE"/>
    <w:rsid w:val="007E0D30"/>
    <w:rsid w:val="00837314"/>
    <w:rsid w:val="00846635"/>
    <w:rsid w:val="00851EE3"/>
    <w:rsid w:val="008B2D8C"/>
    <w:rsid w:val="00907C7C"/>
    <w:rsid w:val="009152F0"/>
    <w:rsid w:val="009302A0"/>
    <w:rsid w:val="009626F1"/>
    <w:rsid w:val="0097650D"/>
    <w:rsid w:val="009A0C0E"/>
    <w:rsid w:val="009C7E01"/>
    <w:rsid w:val="009E0C39"/>
    <w:rsid w:val="00A00AC7"/>
    <w:rsid w:val="00A14657"/>
    <w:rsid w:val="00A16C55"/>
    <w:rsid w:val="00A437B2"/>
    <w:rsid w:val="00A53D08"/>
    <w:rsid w:val="00BC3CE9"/>
    <w:rsid w:val="00C516BC"/>
    <w:rsid w:val="00C5424F"/>
    <w:rsid w:val="00C57AFE"/>
    <w:rsid w:val="00C631D5"/>
    <w:rsid w:val="00C77BF1"/>
    <w:rsid w:val="00CA2741"/>
    <w:rsid w:val="00CA51D3"/>
    <w:rsid w:val="00D2476D"/>
    <w:rsid w:val="00D55237"/>
    <w:rsid w:val="00D64C14"/>
    <w:rsid w:val="00D65138"/>
    <w:rsid w:val="00DF1130"/>
    <w:rsid w:val="00E23506"/>
    <w:rsid w:val="00F7790C"/>
    <w:rsid w:val="00FD3B58"/>
    <w:rsid w:val="04337167"/>
    <w:rsid w:val="06901263"/>
    <w:rsid w:val="0CAD6E28"/>
    <w:rsid w:val="0DBF3D9F"/>
    <w:rsid w:val="1698029D"/>
    <w:rsid w:val="19640BB3"/>
    <w:rsid w:val="1EFA5B5E"/>
    <w:rsid w:val="1FD03059"/>
    <w:rsid w:val="21A0597C"/>
    <w:rsid w:val="230974E1"/>
    <w:rsid w:val="25A9673C"/>
    <w:rsid w:val="281876EF"/>
    <w:rsid w:val="2A042307"/>
    <w:rsid w:val="2A667E19"/>
    <w:rsid w:val="2E0E526E"/>
    <w:rsid w:val="315B709B"/>
    <w:rsid w:val="3977290E"/>
    <w:rsid w:val="3D375733"/>
    <w:rsid w:val="405D61EB"/>
    <w:rsid w:val="44F11AA7"/>
    <w:rsid w:val="47FF0B70"/>
    <w:rsid w:val="4A2D2262"/>
    <w:rsid w:val="4F0667A0"/>
    <w:rsid w:val="4FB03F57"/>
    <w:rsid w:val="55ED2957"/>
    <w:rsid w:val="5A1500D0"/>
    <w:rsid w:val="5D11008D"/>
    <w:rsid w:val="66186F81"/>
    <w:rsid w:val="66CA3738"/>
    <w:rsid w:val="678C6B09"/>
    <w:rsid w:val="6D1102CA"/>
    <w:rsid w:val="6F981080"/>
    <w:rsid w:val="72A945B8"/>
    <w:rsid w:val="72C0146A"/>
    <w:rsid w:val="7ACB36D3"/>
    <w:rsid w:val="7C341116"/>
    <w:rsid w:val="7D694D68"/>
    <w:rsid w:val="7D93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0"/>
    <w:pPr>
      <w:jc w:val="center"/>
    </w:pPr>
    <w:rPr>
      <w:sz w:val="44"/>
    </w:rPr>
  </w:style>
  <w:style w:type="paragraph" w:customStyle="1" w:styleId="4">
    <w:name w:val="xl27"/>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styleId="5">
    <w:name w:val="Body Text Indent 2"/>
    <w:basedOn w:val="1"/>
    <w:qFormat/>
    <w:uiPriority w:val="0"/>
    <w:pPr>
      <w:spacing w:line="400" w:lineRule="exact"/>
      <w:ind w:firstLine="570"/>
    </w:pPr>
    <w:rPr>
      <w:color w:val="000000"/>
      <w:sz w:val="2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2"/>
    <w:autoRedefine/>
    <w:qFormat/>
    <w:uiPriority w:val="99"/>
    <w:rPr>
      <w:sz w:val="18"/>
      <w:szCs w:val="18"/>
    </w:rPr>
  </w:style>
  <w:style w:type="character" w:customStyle="1" w:styleId="11">
    <w:name w:val="页脚 Char"/>
    <w:basedOn w:val="9"/>
    <w:link w:val="6"/>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NormalCharacter"/>
    <w:autoRedefine/>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88DBB-C054-48BA-AAA6-D1A0CF5C9B5D}">
  <ds:schemaRefs/>
</ds:datastoreItem>
</file>

<file path=docProps/app.xml><?xml version="1.0" encoding="utf-8"?>
<Properties xmlns="http://schemas.openxmlformats.org/officeDocument/2006/extended-properties" xmlns:vt="http://schemas.openxmlformats.org/officeDocument/2006/docPropsVTypes">
  <Template>Normal</Template>
  <Pages>5</Pages>
  <Words>355</Words>
  <Characters>2025</Characters>
  <Lines>16</Lines>
  <Paragraphs>4</Paragraphs>
  <TotalTime>24</TotalTime>
  <ScaleCrop>false</ScaleCrop>
  <LinksUpToDate>false</LinksUpToDate>
  <CharactersWithSpaces>2376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2024-04-16T06:53:00Z</dcterms:created>
  <dc:creator>Administrator</dc:creator>
  <cp:lastModifiedBy>Administrator</cp:lastModifiedBy>
  <cp:lastPrinted>2024-03-21T08:15:00Z</cp:lastPrinted>
  <dcterms:modified xsi:type="dcterms:W3CDTF">2024-04-17T03:51:36Z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27C7F94508ED423FAFC8D86D3D74BEDD_13</vt:lpwstr>
  </property>
</Properties>
</file>