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宋体" w:hAnsi="宋体" w:eastAsia="宋体" w:cs="宋体"/>
          <w:b w:val="0"/>
          <w:bCs w:val="0"/>
          <w:strike w:val="0"/>
          <w:dstrike w:val="0"/>
          <w:color w:val="FF0000"/>
          <w:sz w:val="28"/>
          <w:szCs w:val="28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</w:rPr>
        <w:t>行政许可事项实施规范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（基本要素）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宋体" w:hAnsi="宋体" w:eastAsia="宋体" w:cs="宋体"/>
          <w:b w:val="0"/>
          <w:bCs w:val="0"/>
          <w:strike w:val="0"/>
          <w:dstrike w:val="0"/>
          <w:color w:val="FF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一、行政许可事项名称：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2"/>
          <w:szCs w:val="32"/>
          <w:lang w:val="en-US" w:eastAsia="zh-CN"/>
        </w:rPr>
        <w:t>华侨回国定居审批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二、主管部门：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2"/>
          <w:szCs w:val="32"/>
          <w:lang w:val="en-US" w:eastAsia="zh-CN"/>
        </w:rPr>
        <w:t>县侨办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三、实施机关：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2"/>
          <w:szCs w:val="32"/>
          <w:lang w:val="en-US" w:eastAsia="zh-CN"/>
        </w:rPr>
        <w:t>县侨办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四、设定和实施依据：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2"/>
          <w:szCs w:val="32"/>
          <w:lang w:val="en-US" w:eastAsia="zh-CN"/>
        </w:rPr>
        <w:t>《中华人民共和国出境入境管理法》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2"/>
          <w:szCs w:val="32"/>
          <w:lang w:val="en-US" w:eastAsia="zh-CN"/>
        </w:rPr>
        <w:t>《华侨回国定居办理工作规定》（国侨发〔2013〕18号）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五、子项：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32"/>
          <w:szCs w:val="32"/>
          <w:lang w:val="en-US" w:eastAsia="zh-CN"/>
        </w:rPr>
        <w:t>华侨回国定居审批（设区的市级权限）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A6914"/>
    <w:rsid w:val="774A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2023-12-01T06:38:00Z</dcterms:created>
  <dc:creator>阿瑾呀</dc:creator>
  <cp:lastModifiedBy>阿瑾呀</cp:lastModifiedBy>
  <dcterms:modified xsi:type="dcterms:W3CDTF">2023-12-01T06:39:04Z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3A1980410EAE4B93BB7CCF5DA837C3A9</vt:lpwstr>
  </property>
</Properties>
</file>