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《云南富源产业园区总体规划修编（2021—2035年）》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起草说明</w:t>
      </w:r>
    </w:p>
    <w:p>
      <w:pPr>
        <w:spacing w:line="600" w:lineRule="exact"/>
        <w:ind w:firstLine="562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562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云南富源产业园区规划为“一园五片区”的空间结构，总规划面积27.70平方公里（2770.36ha），包括胜境片区（1453.80ha）、多乐片区（488.80ha）、天宝片区（675.66ha）、升官坪片区（48.08ha）和腰站片区（104.02ha），园区形成“1+2”的产业体系，以绿色铝一体化产业（以绿色铝精深加工为重点）为主导产业，辅助发展煤化工产业和新型建材产业。</w:t>
      </w:r>
    </w:p>
    <w:p>
      <w:pPr>
        <w:spacing w:line="600" w:lineRule="exact"/>
        <w:ind w:firstLine="562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园区规划是引领园区发展的纲领性文件，是决定园区发展质量的关键所在。为实现云南富源产业园区集中连片、节约集约，又充分预留发展空间，科学界定开发区四至范围，综合考虑未来15-20年的产业发展用地需求，充分考虑新型城镇化发展和乡村振兴战略的实施，必须编制园区总体规划修编。</w:t>
      </w:r>
    </w:p>
    <w:p>
      <w:pPr>
        <w:spacing w:line="600" w:lineRule="exact"/>
        <w:ind w:firstLine="562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富源处于滇中城市经济圈的二级辐射区，素有入滇“第一关”、“滇黔锁钥”、“云南东大门”之称，也作为昆明至贵阳经济走廊上的节点城市和门户城市。依托滇中经济圈打造云南经济与产业发展的核心区域，富源产业园区既可以对内承接国内梯度较高地区的转移产业，也可以通过云南省大通道建设，对外吸引面向南亚东南亚的出口加工工业。</w:t>
      </w:r>
    </w:p>
    <w:p>
      <w:pPr>
        <w:spacing w:line="600" w:lineRule="exact"/>
        <w:ind w:firstLine="562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项目建成后，富源县积极打造国家级绿色铝</w:t>
      </w:r>
      <w:r>
        <w:rPr>
          <w:rFonts w:ascii="Times New Roman" w:hAnsi="Times New Roman" w:eastAsia="方正仿宋_GBK" w:cs="Times New Roman"/>
          <w:sz w:val="32"/>
          <w:szCs w:val="32"/>
        </w:rPr>
        <w:t>精深加工产业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示范</w:t>
      </w:r>
      <w:r>
        <w:rPr>
          <w:rFonts w:ascii="Times New Roman" w:hAnsi="Times New Roman" w:eastAsia="方正仿宋_GBK" w:cs="Times New Roman"/>
          <w:sz w:val="32"/>
          <w:szCs w:val="32"/>
        </w:rPr>
        <w:t>基地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，云南省煤化工循环产业示范区，曲靖市重要的绿色食品与消费品制造产业园区。预计2035年，园区总产值1160.00亿元以上，工业增加值350.00亿元以上，提供就业人口约6.70万人。</w:t>
      </w:r>
    </w:p>
    <w:p>
      <w:pPr>
        <w:spacing w:line="600" w:lineRule="exact"/>
        <w:ind w:firstLine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本项目依托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云南省融入</w:t>
      </w:r>
      <w:r>
        <w:rPr>
          <w:rFonts w:ascii="Times New Roman" w:hAnsi="Times New Roman" w:eastAsia="方正仿宋_GBK" w:cs="Times New Roman"/>
          <w:sz w:val="32"/>
          <w:szCs w:val="32"/>
        </w:rPr>
        <w:t>国家“一带一路”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的发展机遇、省级产业园区政策机遇和富源县特色资源优势和交通区位优势</w:t>
      </w:r>
      <w:r>
        <w:rPr>
          <w:rFonts w:ascii="Times New Roman" w:hAnsi="Times New Roman" w:eastAsia="方正仿宋_GBK" w:cs="Times New Roman"/>
          <w:sz w:val="32"/>
          <w:szCs w:val="32"/>
        </w:rPr>
        <w:t>，也为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富源产业发展</w:t>
      </w:r>
      <w:r>
        <w:rPr>
          <w:rFonts w:ascii="Times New Roman" w:hAnsi="Times New Roman" w:eastAsia="方正仿宋_GBK" w:cs="Times New Roman"/>
          <w:sz w:val="32"/>
          <w:szCs w:val="32"/>
        </w:rPr>
        <w:t>未来“筑巢引凤”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和产业集群</w:t>
      </w:r>
      <w:r>
        <w:rPr>
          <w:rFonts w:ascii="Times New Roman" w:hAnsi="Times New Roman" w:eastAsia="方正仿宋_GBK" w:cs="Times New Roman"/>
          <w:sz w:val="32"/>
          <w:szCs w:val="32"/>
        </w:rPr>
        <w:t>做基础性工程。为更好结合、落实地区招商引资政策，为地区发展带来核心动力，本项目建设必不可少，是地区实施“筑巢引凤”策略的必然基础。</w:t>
      </w:r>
    </w:p>
    <w:p>
      <w:pPr>
        <w:spacing w:line="600" w:lineRule="exact"/>
        <w:ind w:firstLine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引出项目的建设是必要的，项目前期工作时编写社会风险性报告，能够充分考虑社会的承受能力，妥善照顾各方面的利益诉求，广泛听取各方面的意见，充分考虑不同群体的利益，认真研究，科学论证，真正实现经济社会科学发展，把社会稳定问题考虑在前，预测防范风险、控制化解风险，消除和减少项目中的不稳定因素。</w:t>
      </w:r>
    </w:p>
    <w:p>
      <w:pPr>
        <w:spacing w:line="600" w:lineRule="exact"/>
        <w:ind w:firstLine="56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综上所述，需开展云南富源产业园区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总体规划</w:t>
      </w:r>
      <w:r>
        <w:rPr>
          <w:rFonts w:ascii="Times New Roman" w:hAnsi="Times New Roman" w:eastAsia="方正仿宋_GBK" w:cs="Times New Roman"/>
          <w:sz w:val="32"/>
          <w:szCs w:val="32"/>
        </w:rPr>
        <w:t>（简称“富源产业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总规</w:t>
      </w:r>
      <w:r>
        <w:rPr>
          <w:rFonts w:ascii="Times New Roman" w:hAnsi="Times New Roman" w:eastAsia="方正仿宋_GBK" w:cs="Times New Roman"/>
          <w:sz w:val="32"/>
          <w:szCs w:val="32"/>
        </w:rPr>
        <w:t>”）社会稳定性风险评估公众参与信息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公示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的工作。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sectPr>
      <w:footerReference r:id="rId3" w:type="default"/>
      <w:pgSz w:w="11906" w:h="16838"/>
      <w:pgMar w:top="2098" w:right="1531" w:bottom="1984" w:left="1531" w:header="119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kMzVlNTY1Y2Y2ODM4ODFiNzFmZWEzMjUxZmU0MzUifQ=="/>
  </w:docVars>
  <w:rsids>
    <w:rsidRoot w:val="0AB423EC"/>
    <w:rsid w:val="003A2BE5"/>
    <w:rsid w:val="00406449"/>
    <w:rsid w:val="004C793D"/>
    <w:rsid w:val="00634D3E"/>
    <w:rsid w:val="006D4817"/>
    <w:rsid w:val="00800CD2"/>
    <w:rsid w:val="00B56C67"/>
    <w:rsid w:val="00C61376"/>
    <w:rsid w:val="05DA602C"/>
    <w:rsid w:val="0AB423EC"/>
    <w:rsid w:val="532F0BB9"/>
    <w:rsid w:val="61514C3C"/>
    <w:rsid w:val="6E5A5C73"/>
    <w:rsid w:val="704774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样式 左侧:  1 字符 首行缩进:  1 字符"/>
    <w:basedOn w:val="1"/>
    <w:qFormat/>
    <w:uiPriority w:val="0"/>
    <w:pPr>
      <w:ind w:left="200" w:leftChars="200" w:firstLine="200" w:firstLineChars="200"/>
    </w:pPr>
    <w:rPr>
      <w:rFonts w:ascii="Times New Roman" w:hAnsi="Times New Roman" w:eastAsia="宋体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816</Characters>
  <Lines>6</Lines>
  <Paragraphs>1</Paragraphs>
  <TotalTime>2</TotalTime>
  <ScaleCrop>false</ScaleCrop>
  <LinksUpToDate>false</LinksUpToDate>
  <CharactersWithSpaces>957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2023-11-27T02:57:00Z</dcterms:created>
  <dc:creator>柯璋</dc:creator>
  <cp:lastModifiedBy>阿瑾呀</cp:lastModifiedBy>
  <dcterms:modified xsi:type="dcterms:W3CDTF">2023-11-28T07:09:34Z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1D2A6B491E7049B0BCC6DBFD85D2DD21_11</vt:lpwstr>
  </property>
</Properties>
</file>