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云南富源产业园区铁路专用线项目</w:t>
      </w:r>
      <w:r>
        <w:rPr>
          <w:rFonts w:hint="eastAsia" w:ascii="方正小标宋_GBK" w:hAnsi="方正小标宋_GBK" w:eastAsia="方正小标宋_GBK" w:cs="方正小标宋_GBK"/>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line="600" w:lineRule="exact"/>
        <w:ind w:firstLine="562"/>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6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云南富源产业园区铁路专用线项目主要服务富源工业园区内诸多企业，包括铝产业、轻型加工产业、现代物流产业等，物流周转需求量大，若全部依靠公路运输成本高、不经济、安全性低，遇到雨雪等恶劣天气运输时效不能保证。铁路运输具有运输能力大、运价低、低能耗、受气候和自然条件的影响小，能保证货物运输的持续性和准时性，适合大宗货物中长距离运输。</w:t>
      </w:r>
    </w:p>
    <w:p>
      <w:pPr>
        <w:keepNext w:val="0"/>
        <w:keepLines w:val="0"/>
        <w:pageBreakBefore w:val="0"/>
        <w:widowControl w:val="0"/>
        <w:kinsoku/>
        <w:wordWrap/>
        <w:overflowPunct/>
        <w:topLinePunct w:val="0"/>
        <w:autoSpaceDE/>
        <w:autoSpaceDN/>
        <w:bidi w:val="0"/>
        <w:adjustRightInd/>
        <w:snapToGrid/>
        <w:spacing w:line="600" w:lineRule="exact"/>
        <w:ind w:firstLine="56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建成后货流可通过铁路直接进厂入园，能够有效地降低企业运输成本、减少货物损失，为企业提供可靠的运输保障。项目的实施不仅有利于地区交通运输结构的调整，同时对园区经济发展有极大促进。本项目建设符合国家及云南省“公转铁”的政策，缓解公路运输压力，减少大宗品类货物对沿线环境的污染，合理分配公路运输资源，有效保护了当地的生态环境，为打赢蓝天保卫战创造了条件。</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项目依托干线车站建设的物流园区铁路专用线既为地区本土企业运输提供极大便利，也为产业园区未来“筑巢引凤”做基础性工程。为更好结合、落实地区招商引资政策，为地区发展带来核心动力，本项目建设必不可少，是地区实施“筑巢引凤”策略的必然基础。</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引出项目的建设是必要的，项目前期工作时编写社会风险性报告，能够充分考虑社会的承受能力，妥善照顾各方面的利益诉求，广泛听取各方面的意见，充分考虑不同群体的利益，认真研究，科学论证，真正实现经济社会科学发展，把社会稳定问题考虑在前，预测防范风险、控制化解风险，消除和减少项目中的不稳定因素。</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综上所述，需开展云南富源产业园区铁路专用线（简称“富源产业园区专用线工程”）社会稳定性风险评估公众参与信息</w:t>
      </w:r>
      <w:r>
        <w:rPr>
          <w:rFonts w:hint="eastAsia" w:ascii="Times New Roman" w:hAnsi="Times New Roman" w:eastAsia="方正仿宋_GBK" w:cs="Times New Roman"/>
          <w:sz w:val="32"/>
          <w:szCs w:val="32"/>
          <w:lang w:eastAsia="zh-CN"/>
        </w:rPr>
        <w:t>公示</w:t>
      </w:r>
      <w:bookmarkStart w:id="0" w:name="_GoBack"/>
      <w:bookmarkEnd w:id="0"/>
      <w:r>
        <w:rPr>
          <w:rFonts w:hint="default" w:ascii="Times New Roman" w:hAnsi="Times New Roman" w:eastAsia="方正仿宋_GBK" w:cs="Times New Roman"/>
          <w:sz w:val="32"/>
          <w:szCs w:val="32"/>
        </w:rPr>
        <w:t>的工作。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28"/>
          <w:szCs w:val="28"/>
        </w:rPr>
      </w:pPr>
    </w:p>
    <w:sectPr>
      <w:footerReference r:id="rId3" w:type="default"/>
      <w:pgSz w:w="11906" w:h="16838"/>
      <w:pgMar w:top="2098" w:right="1531" w:bottom="1984" w:left="1531" w:header="1191" w:footer="85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kMzVlNTY1Y2Y2ODM4ODFiNzFmZWEzMjUxZmU0MzUifQ=="/>
  </w:docVars>
  <w:rsids>
    <w:rsidRoot w:val="0AB423EC"/>
    <w:rsid w:val="05DA602C"/>
    <w:rsid w:val="0AB423EC"/>
    <w:rsid w:val="6BD365A0"/>
    <w:rsid w:val="6E5A5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2023-11-27T02:57:00Z</dcterms:created>
  <dc:creator>柯璋</dc:creator>
  <cp:lastModifiedBy>阿瑾呀</cp:lastModifiedBy>
  <dcterms:modified xsi:type="dcterms:W3CDTF">2023-11-28T07:10:03Z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1D2A6B491E7049B0BCC6DBFD85D2DD21_11</vt:lpwstr>
  </property>
</Properties>
</file>