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9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15"/>
        <w:gridCol w:w="4617"/>
        <w:gridCol w:w="1845"/>
        <w:gridCol w:w="385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富源县财政局行政许可事项清单（</w:t>
            </w:r>
            <w:r>
              <w:rPr>
                <w:rStyle w:val="7"/>
                <w:rFonts w:eastAsia="方正小标宋简体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一、承接法律、行政法规、国务院决定设定的在富源县实施的行政许可事项（共</w:t>
            </w:r>
            <w:r>
              <w:rPr>
                <w:rStyle w:val="9"/>
                <w:rFonts w:eastAsia="黑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事项名称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实施机关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设定和实施依据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Ansi="Times New Roman"/>
                <w:bdr w:val="none" w:color="auto" w:sz="0" w:space="0"/>
                <w:lang w:val="en-US" w:eastAsia="zh-CN" w:bidi="ar"/>
              </w:rPr>
              <w:t>县财政局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Ansi="Times New Roman"/>
                <w:bdr w:val="none" w:color="auto" w:sz="0" w:space="0"/>
                <w:lang w:val="en-US" w:eastAsia="zh-CN" w:bidi="ar"/>
              </w:rPr>
              <w:t>中介机构从事代理记账业务审批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Ansi="Times New Roman"/>
                <w:bdr w:val="none" w:color="auto" w:sz="0" w:space="0"/>
                <w:lang w:val="en-US" w:eastAsia="zh-CN" w:bidi="ar"/>
              </w:rPr>
              <w:t>县财政局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Ansi="Times New Roman"/>
                <w:bdr w:val="none" w:color="auto" w:sz="0" w:space="0"/>
                <w:lang w:val="en-US" w:eastAsia="zh-CN" w:bidi="ar"/>
              </w:rPr>
              <w:t>《中华人民共和国会计法》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YTVmNDNiM2Q5MjliYmI1NTI0Zjg5ZTMyMDgwODgifQ=="/>
  </w:docVars>
  <w:rsids>
    <w:rsidRoot w:val="00000000"/>
    <w:rsid w:val="05F27D90"/>
    <w:rsid w:val="5B7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6">
    <w:name w:val="font41"/>
    <w:basedOn w:val="3"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7">
    <w:name w:val="font71"/>
    <w:basedOn w:val="3"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8">
    <w:name w:val="font51"/>
    <w:basedOn w:val="3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9">
    <w:name w:val="font2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81"/>
    <w:basedOn w:val="3"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2023-11-21T03:23:08Z</dcterms:created>
  <dc:creator>Administrator</dc:creator>
  <cp:lastModifiedBy>Administrator</cp:lastModifiedBy>
  <dcterms:modified xsi:type="dcterms:W3CDTF">2023-11-21T03:23:53Z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3C6F558E7CE441EE9EE7FD1D9098CFA7_12</vt:lpwstr>
  </property>
</Properties>
</file>