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spacing w:val="-11"/>
          <w:sz w:val="32"/>
          <w:szCs w:val="44"/>
          <w:lang w:val="en-US" w:eastAsia="zh-CN"/>
        </w:rPr>
      </w:pPr>
      <w:r>
        <w:rPr>
          <w:rFonts w:hint="eastAsia" w:ascii="宋体" w:hAnsi="宋体" w:eastAsia="方正黑体_GBK" w:cs="宋体"/>
          <w:spacing w:val="-11"/>
          <w:sz w:val="32"/>
          <w:szCs w:val="44"/>
          <w:lang w:val="en-US" w:eastAsia="zh-CN"/>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r>
        <w:rPr>
          <w:rFonts w:hint="eastAsia" w:ascii="宋体" w:hAnsi="宋体" w:eastAsia="方正小标宋_GBK" w:cs="宋体"/>
          <w:spacing w:val="-11"/>
          <w:sz w:val="44"/>
          <w:szCs w:val="44"/>
        </w:rPr>
        <w:t>部分不</w:t>
      </w:r>
      <w:r>
        <w:rPr>
          <w:rFonts w:hint="eastAsia" w:ascii="宋体" w:hAnsi="宋体" w:eastAsia="方正小标宋_GBK" w:cs="宋体"/>
          <w:spacing w:val="-11"/>
          <w:sz w:val="44"/>
          <w:szCs w:val="44"/>
          <w:highlight w:val="none"/>
        </w:rPr>
        <w:t>合格检</w:t>
      </w:r>
      <w:r>
        <w:rPr>
          <w:rFonts w:hint="eastAsia" w:ascii="宋体" w:hAnsi="宋体" w:eastAsia="方正小标宋_GBK" w:cs="宋体"/>
          <w:spacing w:val="-11"/>
          <w:sz w:val="44"/>
          <w:szCs w:val="44"/>
        </w:rPr>
        <w:t>验项目小知识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spacing w:val="-11"/>
          <w:sz w:val="44"/>
          <w:szCs w:val="44"/>
        </w:rPr>
      </w:pPr>
    </w:p>
    <w:p>
      <w:pPr>
        <w:pStyle w:val="2"/>
        <w:numPr>
          <w:ilvl w:val="0"/>
          <w:numId w:val="0"/>
        </w:numPr>
        <w:ind w:firstLine="596" w:firstLineChars="200"/>
        <w:rPr>
          <w:rFonts w:hint="eastAsia" w:ascii="仿宋" w:hAnsi="仿宋" w:cs="仿宋"/>
          <w:color w:val="auto"/>
          <w:spacing w:val="-11"/>
          <w:kern w:val="2"/>
          <w:sz w:val="32"/>
          <w:szCs w:val="32"/>
          <w:lang w:val="en-US" w:eastAsia="zh-CN" w:bidi="ar-SA"/>
        </w:rPr>
      </w:pPr>
      <w:r>
        <w:rPr>
          <w:rFonts w:hint="eastAsia" w:ascii="宋体" w:hAnsi="宋体" w:eastAsia="方正黑体_GBK" w:cs="宋体"/>
          <w:color w:val="auto"/>
          <w:spacing w:val="-11"/>
          <w:kern w:val="2"/>
          <w:sz w:val="32"/>
          <w:szCs w:val="32"/>
          <w:lang w:val="en-US" w:eastAsia="zh-CN" w:bidi="ar-SA"/>
        </w:rPr>
        <w:t>一</w:t>
      </w:r>
      <w:r>
        <w:rPr>
          <w:rFonts w:hint="eastAsia" w:ascii="仿宋" w:hAnsi="仿宋" w:cs="仿宋"/>
          <w:color w:val="auto"/>
          <w:spacing w:val="-11"/>
          <w:kern w:val="2"/>
          <w:sz w:val="32"/>
          <w:szCs w:val="32"/>
          <w:lang w:val="en-US" w:eastAsia="zh-CN" w:bidi="ar-SA"/>
        </w:rPr>
        <w:t>、</w:t>
      </w:r>
      <w:r>
        <w:rPr>
          <w:rFonts w:hint="eastAsia" w:ascii="宋体" w:hAnsi="宋体" w:eastAsia="方正黑体_GBK" w:cs="宋体"/>
          <w:color w:val="auto"/>
          <w:spacing w:val="-11"/>
          <w:kern w:val="2"/>
          <w:sz w:val="32"/>
          <w:szCs w:val="32"/>
          <w:lang w:val="en-US" w:eastAsia="zh-CN" w:bidi="ar-SA"/>
        </w:rPr>
        <w:t>铝的残留量(干样品,以Al计)</w:t>
      </w:r>
    </w:p>
    <w:p>
      <w:pPr>
        <w:pStyle w:val="2"/>
        <w:numPr>
          <w:ilvl w:val="0"/>
          <w:numId w:val="0"/>
        </w:numPr>
        <w:ind w:firstLine="596" w:firstLineChars="200"/>
        <w:rPr>
          <w:rFonts w:hint="eastAsia" w:ascii="仿宋" w:hAnsi="仿宋" w:cs="仿宋"/>
          <w:color w:val="auto"/>
          <w:spacing w:val="-11"/>
          <w:kern w:val="2"/>
          <w:sz w:val="32"/>
          <w:szCs w:val="32"/>
          <w:lang w:val="en-US" w:eastAsia="zh-CN" w:bidi="ar-SA"/>
        </w:rPr>
      </w:pPr>
      <w:r>
        <w:rPr>
          <w:rFonts w:hint="eastAsia" w:ascii="仿宋" w:hAnsi="仿宋" w:cs="仿宋"/>
          <w:color w:val="auto"/>
          <w:spacing w:val="-11"/>
          <w:kern w:val="2"/>
          <w:sz w:val="32"/>
          <w:szCs w:val="32"/>
          <w:lang w:val="en-US" w:eastAsia="zh-CN" w:bidi="ar-SA"/>
        </w:rPr>
        <w:t>铝的残留主要是使用了添加剂明矾。明矾是一种以硫酸铝为主要成分的复合盐类，含有大量的铝元素，是传统的食品改良剂和膨松剂，但其化学成分是硫酸铝钾，含有铝离子。铝是一种非人体所需的低毒金属元素，蓄积于体内会与多种蛋白质、酶等引起神经系统的病变，过量摄入会影响人体对铁、钙等成份的吸收，导致骨质疏松、贫血，甚至影响神经细胞的发育。如沉积在大脑中，可使脑组织发生器质性改变，出现记忆力衰退,甚至痴呆;如沉积于皮肤，可使皮肤弹性降低，皮肤皱纹增多;影响儿童骨骼的生长，使儿童智力受到影响。</w:t>
      </w:r>
    </w:p>
    <w:p>
      <w:pPr>
        <w:pStyle w:val="2"/>
        <w:numPr>
          <w:ilvl w:val="0"/>
          <w:numId w:val="0"/>
        </w:numPr>
        <w:ind w:leftChars="200" w:firstLine="298" w:firstLineChars="100"/>
        <w:rPr>
          <w:rFonts w:hint="eastAsia" w:ascii="宋体" w:hAnsi="宋体" w:eastAsia="方正黑体_GBK" w:cs="宋体"/>
          <w:color w:val="auto"/>
          <w:spacing w:val="-11"/>
          <w:kern w:val="2"/>
          <w:sz w:val="32"/>
          <w:szCs w:val="32"/>
          <w:lang w:val="en-US" w:eastAsia="zh-CN" w:bidi="ar-SA"/>
        </w:rPr>
      </w:pPr>
      <w:r>
        <w:rPr>
          <w:rFonts w:hint="eastAsia" w:ascii="宋体" w:hAnsi="宋体" w:eastAsia="方正黑体_GBK" w:cs="宋体"/>
          <w:color w:val="auto"/>
          <w:spacing w:val="-11"/>
          <w:kern w:val="2"/>
          <w:sz w:val="32"/>
          <w:szCs w:val="32"/>
          <w:lang w:val="en-US" w:eastAsia="zh-CN" w:bidi="ar-SA"/>
        </w:rPr>
        <w:t>二、脱氢乙酸及其钠盐(以脱氢乙酸计)</w:t>
      </w:r>
    </w:p>
    <w:p>
      <w:pPr>
        <w:keepNext w:val="0"/>
        <w:keepLines w:val="0"/>
        <w:widowControl/>
        <w:suppressLineNumbers w:val="0"/>
        <w:ind w:firstLine="596" w:firstLineChars="200"/>
        <w:jc w:val="left"/>
        <w:rPr>
          <w:rFonts w:hint="eastAsia" w:ascii="仿宋" w:hAnsi="仿宋" w:eastAsia="仿宋" w:cs="仿宋"/>
          <w:color w:val="auto"/>
          <w:spacing w:val="-11"/>
          <w:kern w:val="2"/>
          <w:sz w:val="32"/>
          <w:szCs w:val="32"/>
          <w:lang w:val="en-US" w:eastAsia="zh-CN" w:bidi="ar-SA"/>
        </w:rPr>
      </w:pPr>
      <w:r>
        <w:rPr>
          <w:rFonts w:hint="eastAsia" w:ascii="仿宋" w:hAnsi="仿宋" w:eastAsia="仿宋" w:cs="仿宋"/>
          <w:color w:val="auto"/>
          <w:spacing w:val="-11"/>
          <w:kern w:val="2"/>
          <w:sz w:val="32"/>
          <w:szCs w:val="32"/>
          <w:lang w:val="en-US" w:eastAsia="zh-CN" w:bidi="ar-SA"/>
        </w:rPr>
        <w:t>脱氢乙酸（</w:t>
      </w:r>
      <w:r>
        <w:rPr>
          <w:rFonts w:hint="default" w:ascii="仿宋" w:hAnsi="仿宋" w:eastAsia="仿宋" w:cs="仿宋"/>
          <w:color w:val="auto"/>
          <w:spacing w:val="-11"/>
          <w:kern w:val="2"/>
          <w:sz w:val="32"/>
          <w:szCs w:val="32"/>
          <w:lang w:val="en-US" w:eastAsia="zh-CN" w:bidi="ar-SA"/>
        </w:rPr>
        <w:t>dehydroacetic acid</w:t>
      </w:r>
      <w:r>
        <w:rPr>
          <w:rFonts w:hint="eastAsia" w:ascii="仿宋" w:hAnsi="仿宋" w:eastAsia="仿宋" w:cs="仿宋"/>
          <w:color w:val="auto"/>
          <w:spacing w:val="-11"/>
          <w:kern w:val="2"/>
          <w:sz w:val="32"/>
          <w:szCs w:val="32"/>
          <w:lang w:val="en-US" w:eastAsia="zh-CN" w:bidi="ar-SA"/>
        </w:rPr>
        <w:t xml:space="preserve">）及其钠盐作为一种广谱食品防腐剂，对霉菌和酵母菌的抑制能力强，为苯甲酸钠的 </w:t>
      </w:r>
      <w:r>
        <w:rPr>
          <w:rFonts w:hint="default" w:ascii="仿宋" w:hAnsi="仿宋" w:eastAsia="仿宋" w:cs="仿宋"/>
          <w:color w:val="auto"/>
          <w:spacing w:val="-11"/>
          <w:kern w:val="2"/>
          <w:sz w:val="32"/>
          <w:szCs w:val="32"/>
          <w:lang w:val="en-US" w:eastAsia="zh-CN" w:bidi="ar-SA"/>
        </w:rPr>
        <w:t>2</w:t>
      </w:r>
      <w:r>
        <w:rPr>
          <w:rFonts w:hint="eastAsia" w:ascii="仿宋" w:hAnsi="仿宋" w:eastAsia="仿宋" w:cs="仿宋"/>
          <w:color w:val="auto"/>
          <w:spacing w:val="-11"/>
          <w:kern w:val="2"/>
          <w:sz w:val="32"/>
          <w:szCs w:val="32"/>
          <w:lang w:val="en-US" w:eastAsia="zh-CN" w:bidi="ar-SA"/>
        </w:rPr>
        <w:t>~</w:t>
      </w:r>
      <w:r>
        <w:rPr>
          <w:rFonts w:hint="default" w:ascii="仿宋" w:hAnsi="仿宋" w:eastAsia="仿宋" w:cs="仿宋"/>
          <w:color w:val="auto"/>
          <w:spacing w:val="-11"/>
          <w:kern w:val="2"/>
          <w:sz w:val="32"/>
          <w:szCs w:val="32"/>
          <w:lang w:val="en-US" w:eastAsia="zh-CN" w:bidi="ar-SA"/>
        </w:rPr>
        <w:t>10</w:t>
      </w:r>
      <w:r>
        <w:rPr>
          <w:rFonts w:hint="eastAsia" w:ascii="仿宋" w:hAnsi="仿宋" w:eastAsia="仿宋" w:cs="仿宋"/>
          <w:color w:val="auto"/>
          <w:spacing w:val="-11"/>
          <w:kern w:val="2"/>
          <w:sz w:val="32"/>
          <w:szCs w:val="32"/>
          <w:lang w:val="en-US" w:eastAsia="zh-CN" w:bidi="ar-SA"/>
        </w:rPr>
        <w:t>倍，在高剂量使用时能抑制细菌。脱氢乙酸毒性较低，按标准规定的范围和使用量使用是安全的。脱氢乙酸及其钠盐能被人体完全吸收，并能抑制人体内多种氧化酶，长期过量摄入脱氢乙酸及其钠盐会危害人体健康。脱氢乙酸超标的原因可能是个别生产经营企业为防止食品腐败变质，超量使用了该添加剂，或者其使用的复合添加剂中该添加剂含量较高；也可能是在添加过程中未计量或计量不准。</w:t>
      </w:r>
    </w:p>
    <w:p>
      <w:pPr>
        <w:pStyle w:val="2"/>
        <w:rPr>
          <w:rFonts w:hint="eastAsia"/>
          <w:lang w:val="en-US" w:eastAsia="zh-CN"/>
        </w:rPr>
      </w:pPr>
      <w:r>
        <w:rPr>
          <w:rFonts w:hint="eastAsia" w:ascii="宋体" w:hAnsi="宋体" w:eastAsia="方正黑体_GBK" w:cs="宋体"/>
          <w:color w:val="auto"/>
          <w:spacing w:val="-11"/>
          <w:kern w:val="2"/>
          <w:sz w:val="32"/>
          <w:szCs w:val="32"/>
          <w:lang w:val="en-US" w:eastAsia="zh-CN" w:bidi="ar-SA"/>
        </w:rPr>
        <w:t>三</w:t>
      </w:r>
      <w:r>
        <w:rPr>
          <w:rFonts w:hint="eastAsia"/>
          <w:lang w:val="en-US" w:eastAsia="zh-CN"/>
        </w:rPr>
        <w:t>、二氧化硫残留量</w:t>
      </w:r>
    </w:p>
    <w:p>
      <w:pPr>
        <w:keepNext w:val="0"/>
        <w:keepLines w:val="0"/>
        <w:widowControl/>
        <w:suppressLineNumbers w:val="0"/>
        <w:ind w:firstLine="596" w:firstLineChars="200"/>
        <w:jc w:val="left"/>
        <w:rPr>
          <w:rFonts w:hint="eastAsia" w:ascii="仿宋" w:hAnsi="仿宋" w:eastAsia="仿宋" w:cs="仿宋"/>
          <w:color w:val="auto"/>
          <w:spacing w:val="-11"/>
          <w:kern w:val="2"/>
          <w:sz w:val="32"/>
          <w:szCs w:val="32"/>
          <w:lang w:val="en-US" w:eastAsia="zh-CN" w:bidi="ar-SA"/>
        </w:rPr>
      </w:pPr>
      <w:r>
        <w:rPr>
          <w:rFonts w:hint="eastAsia" w:ascii="仿宋" w:hAnsi="仿宋" w:eastAsia="仿宋" w:cs="仿宋"/>
          <w:color w:val="auto"/>
          <w:spacing w:val="-11"/>
          <w:kern w:val="2"/>
          <w:sz w:val="32"/>
          <w:szCs w:val="32"/>
          <w:lang w:val="en-US" w:eastAsia="zh-CN" w:bidi="ar-SA"/>
        </w:rPr>
        <w:t>亚硫酸盐（</w:t>
      </w:r>
      <w:r>
        <w:rPr>
          <w:rFonts w:hint="default" w:ascii="仿宋" w:hAnsi="仿宋" w:eastAsia="仿宋" w:cs="仿宋"/>
          <w:color w:val="auto"/>
          <w:spacing w:val="-11"/>
          <w:kern w:val="2"/>
          <w:sz w:val="32"/>
          <w:szCs w:val="32"/>
          <w:lang w:val="en-US" w:eastAsia="zh-CN" w:bidi="ar-SA"/>
        </w:rPr>
        <w:t>sulfite</w:t>
      </w:r>
      <w:r>
        <w:rPr>
          <w:rFonts w:hint="eastAsia" w:ascii="仿宋" w:hAnsi="仿宋" w:eastAsia="仿宋" w:cs="仿宋"/>
          <w:color w:val="auto"/>
          <w:spacing w:val="-11"/>
          <w:kern w:val="2"/>
          <w:sz w:val="32"/>
          <w:szCs w:val="32"/>
          <w:lang w:val="en-US" w:eastAsia="zh-CN" w:bidi="ar-SA"/>
        </w:rPr>
        <w:t>）包括亚硫酸钠、亚硫酸钾、焦亚硫酸钾、焦亚硫酸钠、亚硫酸氢钠、低亚硫酸钠等，是常用的漂白剂、防腐剂和抗氧化剂。亚硫酸盐进入人体后最终转化为硫酸盐并随尿液排出体外。少量亚硫酸盐进入人体不会对身体带来健康危害，但若过量食用会引起如恶心、呕吐等胃肠道反应。联合国粮农组织（</w:t>
      </w:r>
      <w:r>
        <w:rPr>
          <w:rFonts w:hint="default" w:ascii="仿宋" w:hAnsi="仿宋" w:eastAsia="仿宋" w:cs="仿宋"/>
          <w:color w:val="auto"/>
          <w:spacing w:val="-11"/>
          <w:kern w:val="2"/>
          <w:sz w:val="32"/>
          <w:szCs w:val="32"/>
          <w:lang w:val="en-US" w:eastAsia="zh-CN" w:bidi="ar-SA"/>
        </w:rPr>
        <w:t>FAO</w:t>
      </w:r>
      <w:r>
        <w:rPr>
          <w:rFonts w:hint="eastAsia" w:ascii="仿宋" w:hAnsi="仿宋" w:eastAsia="仿宋" w:cs="仿宋"/>
          <w:color w:val="auto"/>
          <w:spacing w:val="-11"/>
          <w:kern w:val="2"/>
          <w:sz w:val="32"/>
          <w:szCs w:val="32"/>
          <w:lang w:val="en-US" w:eastAsia="zh-CN" w:bidi="ar-SA"/>
        </w:rPr>
        <w:t>）和世界卫生组织食品添加剂联合专家委员会（</w:t>
      </w:r>
      <w:r>
        <w:rPr>
          <w:rFonts w:hint="default" w:ascii="仿宋" w:hAnsi="仿宋" w:eastAsia="仿宋" w:cs="仿宋"/>
          <w:color w:val="auto"/>
          <w:spacing w:val="-11"/>
          <w:kern w:val="2"/>
          <w:sz w:val="32"/>
          <w:szCs w:val="32"/>
          <w:lang w:val="en-US" w:eastAsia="zh-CN" w:bidi="ar-SA"/>
        </w:rPr>
        <w:t>JECFA</w:t>
      </w:r>
      <w:r>
        <w:rPr>
          <w:rFonts w:hint="eastAsia" w:ascii="仿宋" w:hAnsi="仿宋" w:eastAsia="仿宋" w:cs="仿宋"/>
          <w:color w:val="auto"/>
          <w:spacing w:val="-11"/>
          <w:kern w:val="2"/>
          <w:sz w:val="32"/>
          <w:szCs w:val="32"/>
          <w:lang w:val="en-US" w:eastAsia="zh-CN" w:bidi="ar-SA"/>
        </w:rPr>
        <w:t>）建议其日容许摄入量（</w:t>
      </w:r>
      <w:r>
        <w:rPr>
          <w:rFonts w:hint="default" w:ascii="仿宋" w:hAnsi="仿宋" w:eastAsia="仿宋" w:cs="仿宋"/>
          <w:color w:val="auto"/>
          <w:spacing w:val="-11"/>
          <w:kern w:val="2"/>
          <w:sz w:val="32"/>
          <w:szCs w:val="32"/>
          <w:lang w:val="en-US" w:eastAsia="zh-CN" w:bidi="ar-SA"/>
        </w:rPr>
        <w:t>ADI</w:t>
      </w:r>
      <w:r>
        <w:rPr>
          <w:rFonts w:hint="eastAsia" w:ascii="仿宋" w:hAnsi="仿宋" w:eastAsia="仿宋" w:cs="仿宋"/>
          <w:color w:val="auto"/>
          <w:spacing w:val="-11"/>
          <w:kern w:val="2"/>
          <w:sz w:val="32"/>
          <w:szCs w:val="32"/>
          <w:lang w:val="en-US" w:eastAsia="zh-CN" w:bidi="ar-SA"/>
        </w:rPr>
        <w:t xml:space="preserve">）为 </w:t>
      </w:r>
      <w:r>
        <w:rPr>
          <w:rFonts w:hint="default" w:ascii="仿宋" w:hAnsi="仿宋" w:eastAsia="仿宋" w:cs="仿宋"/>
          <w:color w:val="auto"/>
          <w:spacing w:val="-11"/>
          <w:kern w:val="2"/>
          <w:sz w:val="32"/>
          <w:szCs w:val="32"/>
          <w:lang w:val="en-US" w:eastAsia="zh-CN" w:bidi="ar-SA"/>
        </w:rPr>
        <w:t>0~0.7mg/kgbw</w:t>
      </w:r>
      <w:r>
        <w:rPr>
          <w:rFonts w:hint="eastAsia" w:ascii="仿宋" w:hAnsi="仿宋" w:eastAsia="仿宋" w:cs="仿宋"/>
          <w:color w:val="auto"/>
          <w:spacing w:val="-11"/>
          <w:kern w:val="2"/>
          <w:sz w:val="32"/>
          <w:szCs w:val="32"/>
          <w:lang w:val="en-US" w:eastAsia="zh-CN" w:bidi="ar-SA"/>
        </w:rPr>
        <w:t>。亚硫酸盐（以二氧化硫残留量计）不符合标准的原因主要是生产经营企业超量使用该类添加剂，检出值较高的不排除使用原料不新鲜，以次充好的可能。</w:t>
      </w:r>
    </w:p>
    <w:p>
      <w:pPr>
        <w:pStyle w:val="2"/>
        <w:rPr>
          <w:rFonts w:hint="eastAsia"/>
          <w:lang w:val="en-US" w:eastAsia="zh-CN"/>
        </w:rPr>
      </w:pPr>
      <w:r>
        <w:rPr>
          <w:rFonts w:hint="eastAsia" w:ascii="宋体" w:hAnsi="宋体" w:eastAsia="方正黑体_GBK" w:cs="宋体"/>
          <w:color w:val="auto"/>
          <w:spacing w:val="-11"/>
          <w:kern w:val="2"/>
          <w:sz w:val="32"/>
          <w:szCs w:val="32"/>
          <w:lang w:val="en-US" w:eastAsia="zh-CN" w:bidi="ar-SA"/>
        </w:rPr>
        <w:t>四</w:t>
      </w:r>
      <w:r>
        <w:rPr>
          <w:rFonts w:hint="eastAsia" w:ascii="仿宋" w:hAnsi="仿宋" w:cs="仿宋"/>
          <w:color w:val="auto"/>
          <w:spacing w:val="-11"/>
          <w:kern w:val="2"/>
          <w:sz w:val="32"/>
          <w:szCs w:val="32"/>
          <w:lang w:val="en-US" w:eastAsia="zh-CN" w:bidi="ar-SA"/>
        </w:rPr>
        <w:t>、</w:t>
      </w:r>
      <w:r>
        <w:rPr>
          <w:rFonts w:hint="eastAsia" w:ascii="仿宋" w:hAnsi="仿宋" w:eastAsia="仿宋" w:cs="仿宋"/>
          <w:color w:val="auto"/>
          <w:spacing w:val="-11"/>
          <w:kern w:val="2"/>
          <w:sz w:val="32"/>
          <w:szCs w:val="32"/>
          <w:lang w:val="en-US" w:eastAsia="zh-CN" w:bidi="ar-SA"/>
        </w:rPr>
        <w:t>大肠菌群</w:t>
      </w:r>
    </w:p>
    <w:p>
      <w:pPr>
        <w:pStyle w:val="2"/>
        <w:rPr>
          <w:rFonts w:hint="eastAsia" w:ascii="仿宋" w:hAnsi="仿宋" w:eastAsia="仿宋" w:cs="仿宋"/>
          <w:color w:val="auto"/>
          <w:spacing w:val="-11"/>
          <w:kern w:val="2"/>
          <w:sz w:val="32"/>
          <w:szCs w:val="32"/>
          <w:lang w:val="en-US" w:eastAsia="zh-CN" w:bidi="ar-SA"/>
        </w:rPr>
      </w:pPr>
      <w:r>
        <w:rPr>
          <w:rFonts w:hint="eastAsia" w:ascii="仿宋" w:hAnsi="仿宋" w:eastAsia="仿宋" w:cs="仿宋"/>
          <w:color w:val="auto"/>
          <w:spacing w:val="-11"/>
          <w:kern w:val="2"/>
          <w:sz w:val="32"/>
          <w:szCs w:val="32"/>
          <w:lang w:val="en-US" w:eastAsia="zh-CN" w:bidi="ar-SA"/>
        </w:rPr>
        <w:t>大肠菌群主要来源于温血动物肠道，但广泛分布在自然界，餐具、食品中等都有可能存在，是评价食品卫生质量的重要指标之一。检出大肠菌群多是因为洗餐具的水受到了污染、厨房卫生环境较差、厨师去完卫生间没洗手。当然，也有可能是用餐环境中有污染源，比如：餐厅内有自由活动的宠物等。大肠菌群频繁出现在餐具中的原因：多数与卫生情况不达标有关。现实生活中，多数餐饮经营者可能会存在对餐饮具碗、筷、盘子等清洁管控不力，所以导致各类菌群超标。对于餐饮店而言，碗、盘子等需要及时清洁，并清洁到位。若是在清洗过程中有遗留的洗涤剂，未用清水及时冲洗干净同样也会引起各类菌类超标，特别是夏季，相对更容易滋生细菌。</w:t>
      </w:r>
    </w:p>
    <w:p>
      <w:pPr>
        <w:pStyle w:val="2"/>
        <w:numPr>
          <w:ilvl w:val="0"/>
          <w:numId w:val="1"/>
        </w:numPr>
        <w:rPr>
          <w:rFonts w:hint="eastAsia" w:ascii="宋体" w:hAnsi="宋体" w:eastAsia="方正黑体_GBK" w:cs="宋体"/>
          <w:color w:val="auto"/>
          <w:spacing w:val="-11"/>
          <w:sz w:val="32"/>
          <w:szCs w:val="32"/>
          <w:lang w:val="en-US" w:eastAsia="zh-CN"/>
        </w:rPr>
      </w:pPr>
      <w:r>
        <w:rPr>
          <w:rFonts w:hint="eastAsia" w:ascii="宋体" w:hAnsi="宋体" w:eastAsia="方正黑体_GBK" w:cs="宋体"/>
          <w:color w:val="auto"/>
          <w:spacing w:val="-11"/>
          <w:sz w:val="32"/>
          <w:szCs w:val="32"/>
          <w:lang w:val="en-US" w:eastAsia="zh-CN"/>
        </w:rPr>
        <w:t>吡虫啉</w:t>
      </w:r>
    </w:p>
    <w:p>
      <w:pPr>
        <w:pStyle w:val="2"/>
        <w:numPr>
          <w:ilvl w:val="0"/>
          <w:numId w:val="0"/>
        </w:numPr>
        <w:ind w:firstLine="596" w:firstLineChars="200"/>
        <w:rPr>
          <w:rFonts w:hint="eastAsia" w:ascii="仿宋" w:hAnsi="仿宋" w:eastAsia="仿宋" w:cs="仿宋"/>
          <w:color w:val="auto"/>
          <w:spacing w:val="-11"/>
          <w:kern w:val="2"/>
          <w:sz w:val="32"/>
          <w:szCs w:val="32"/>
          <w:lang w:val="en-US" w:eastAsia="zh-CN" w:bidi="ar-SA"/>
        </w:rPr>
      </w:pPr>
      <w:r>
        <w:rPr>
          <w:rFonts w:hint="eastAsia" w:ascii="仿宋" w:hAnsi="仿宋" w:eastAsia="仿宋" w:cs="仿宋"/>
          <w:color w:val="auto"/>
          <w:spacing w:val="-11"/>
          <w:kern w:val="2"/>
          <w:sz w:val="32"/>
          <w:szCs w:val="32"/>
          <w:lang w:val="en-US" w:eastAsia="zh-CN" w:bidi="ar-SA"/>
        </w:rPr>
        <w:t>吡虫啉（imidacloprid），内吸性杀虫剂，可层间传导，具有触杀和胃毒作用。容易被植物吸收，并在植物体内重新分配，有很好的根部内吸活性。防治刺吸式口器害虫，包括稻飞虱、叶飞虱、蚜虫、蓟马和粉虱。也可防治土壤害虫、白蚁和一些叮咬害虫，如稻水象甲和马铃薯甲虫。对线虫和螨没有活性。大鼠急性经口LD50450mg/kg，急性毒性分级为中等毒。属于烟碱类高效杀虫剂，作为错误的神</w:t>
      </w:r>
      <w:r>
        <w:rPr>
          <w:rFonts w:hint="eastAsia" w:ascii="仿宋" w:hAnsi="仿宋" w:cs="仿宋"/>
          <w:color w:val="auto"/>
          <w:spacing w:val="-11"/>
          <w:kern w:val="2"/>
          <w:sz w:val="32"/>
          <w:szCs w:val="32"/>
          <w:lang w:val="en-US" w:eastAsia="zh-CN" w:bidi="ar-SA"/>
        </w:rPr>
        <w:t>经</w:t>
      </w:r>
      <w:r>
        <w:rPr>
          <w:rFonts w:hint="eastAsia" w:ascii="仿宋" w:hAnsi="仿宋" w:eastAsia="仿宋" w:cs="仿宋"/>
          <w:color w:val="auto"/>
          <w:spacing w:val="-11"/>
          <w:kern w:val="2"/>
          <w:sz w:val="32"/>
          <w:szCs w:val="32"/>
          <w:lang w:val="en-US" w:eastAsia="zh-CN" w:bidi="ar-SA"/>
        </w:rPr>
        <w:t>递质与乙酰胆碱受体结合，干扰神经系统中起重要作用的乙酰胆碱的正常功能，使神经传输保持开放状态，引起异常兴奋。中毒症状为恶心、呕吐、头痛、</w:t>
      </w:r>
      <w:bookmarkStart w:id="0" w:name="_GoBack"/>
      <w:bookmarkEnd w:id="0"/>
      <w:r>
        <w:rPr>
          <w:rFonts w:hint="eastAsia" w:ascii="仿宋" w:hAnsi="仿宋" w:eastAsia="仿宋" w:cs="仿宋"/>
          <w:color w:val="auto"/>
          <w:spacing w:val="-11"/>
          <w:kern w:val="2"/>
          <w:sz w:val="32"/>
          <w:szCs w:val="32"/>
          <w:lang w:val="en-US" w:eastAsia="zh-CN" w:bidi="ar-SA"/>
        </w:rPr>
        <w:t>乏力、心跳过速等，严重者出现昏迷、呼吸衰竭。食用食品一般不会导致吡虫啉的急性中毒，但长期食用吡虫啉超标的食品，对人体健康也有一定影响。</w:t>
      </w:r>
    </w:p>
    <w:p>
      <w:pPr>
        <w:spacing w:line="594" w:lineRule="exact"/>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GB 2763-2021《食品安全国家标准 食品中农药最大残留限量》中规定，</w:t>
      </w:r>
      <w:r>
        <w:rPr>
          <w:rFonts w:hint="eastAsia" w:ascii="仿宋" w:hAnsi="仿宋" w:eastAsia="仿宋" w:cs="仿宋"/>
          <w:color w:val="auto"/>
          <w:spacing w:val="-11"/>
          <w:kern w:val="2"/>
          <w:sz w:val="32"/>
          <w:szCs w:val="32"/>
          <w:lang w:val="en-US" w:eastAsia="zh-CN" w:bidi="ar-SA"/>
        </w:rPr>
        <w:t>吡虫啉</w:t>
      </w:r>
      <w:r>
        <w:rPr>
          <w:rFonts w:hint="eastAsia" w:ascii="仿宋" w:hAnsi="仿宋" w:eastAsia="仿宋" w:cs="仿宋"/>
          <w:color w:val="auto"/>
          <w:kern w:val="2"/>
          <w:sz w:val="32"/>
          <w:szCs w:val="32"/>
          <w:highlight w:val="none"/>
          <w:lang w:val="en-US" w:eastAsia="zh-CN" w:bidi="ar-SA"/>
        </w:rPr>
        <w:t>在香蕉的最大残留限量为0.05mg/kg。</w:t>
      </w:r>
      <w:r>
        <w:rPr>
          <w:rFonts w:hint="eastAsia" w:ascii="仿宋" w:hAnsi="仿宋" w:eastAsia="仿宋" w:cs="仿宋"/>
          <w:color w:val="auto"/>
          <w:spacing w:val="-11"/>
          <w:kern w:val="2"/>
          <w:sz w:val="32"/>
          <w:szCs w:val="32"/>
          <w:lang w:val="en-US" w:eastAsia="zh-CN" w:bidi="ar-SA"/>
        </w:rPr>
        <w:t>吡虫啉</w:t>
      </w:r>
      <w:r>
        <w:rPr>
          <w:rFonts w:hint="eastAsia" w:ascii="仿宋" w:hAnsi="仿宋" w:eastAsia="仿宋" w:cs="仿宋"/>
          <w:color w:val="auto"/>
          <w:kern w:val="2"/>
          <w:sz w:val="32"/>
          <w:szCs w:val="32"/>
          <w:highlight w:val="none"/>
          <w:lang w:val="en-US" w:eastAsia="zh-CN" w:bidi="ar-SA"/>
        </w:rPr>
        <w:t>残留超标的原因可能是农产品种植者为加强防虫效果超量使用农药，也可能是种植户未严格按照农药安全间隔期，提前采收农作物。</w:t>
      </w:r>
    </w:p>
    <w:p>
      <w:pPr>
        <w:keepNext w:val="0"/>
        <w:keepLines w:val="0"/>
        <w:pageBreakBefore w:val="0"/>
        <w:widowControl w:val="0"/>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宋体"/>
          <w:color w:val="auto"/>
          <w:spacing w:val="-11"/>
          <w:sz w:val="32"/>
          <w:szCs w:val="32"/>
          <w:lang w:val="en-US" w:eastAsia="zh-CN"/>
        </w:rPr>
      </w:pPr>
      <w:r>
        <w:rPr>
          <w:rFonts w:hint="eastAsia" w:ascii="宋体" w:hAnsi="宋体" w:eastAsia="方正黑体_GBK" w:cs="宋体"/>
          <w:color w:val="auto"/>
          <w:spacing w:val="-11"/>
          <w:sz w:val="32"/>
          <w:szCs w:val="32"/>
          <w:lang w:val="en-US" w:eastAsia="zh-CN"/>
        </w:rPr>
        <w:t>六、噻虫胺</w:t>
      </w:r>
    </w:p>
    <w:p>
      <w:pPr>
        <w:spacing w:line="594" w:lineRule="exact"/>
        <w:ind w:firstLine="640" w:firstLineChars="200"/>
        <w:rPr>
          <w:rFonts w:hint="eastAsia" w:ascii="仿宋" w:hAnsi="仿宋" w:eastAsia="仿宋" w:cs="仿宋"/>
          <w:color w:val="auto"/>
          <w:spacing w:val="-11"/>
          <w:kern w:val="2"/>
          <w:sz w:val="32"/>
          <w:szCs w:val="32"/>
          <w:lang w:val="en-US" w:eastAsia="zh-CN" w:bidi="ar-SA"/>
        </w:rPr>
      </w:pPr>
      <w:r>
        <w:rPr>
          <w:rFonts w:hint="eastAsia" w:ascii="仿宋" w:hAnsi="仿宋" w:eastAsia="仿宋" w:cs="仿宋"/>
          <w:color w:val="auto"/>
          <w:kern w:val="2"/>
          <w:sz w:val="32"/>
          <w:szCs w:val="32"/>
          <w:highlight w:val="none"/>
          <w:lang w:val="en-US" w:eastAsia="zh-CN" w:bidi="ar-SA"/>
        </w:rPr>
        <w:t>噻虫胺（</w:t>
      </w:r>
      <w:r>
        <w:rPr>
          <w:rFonts w:hint="default" w:ascii="仿宋" w:hAnsi="仿宋" w:eastAsia="仿宋" w:cs="仿宋"/>
          <w:color w:val="auto"/>
          <w:kern w:val="2"/>
          <w:sz w:val="32"/>
          <w:szCs w:val="32"/>
          <w:highlight w:val="none"/>
          <w:lang w:val="en-US" w:eastAsia="zh-CN" w:bidi="ar-SA"/>
        </w:rPr>
        <w:t>clothianidin</w:t>
      </w:r>
      <w:r>
        <w:rPr>
          <w:rFonts w:hint="eastAsia" w:ascii="仿宋" w:hAnsi="仿宋" w:eastAsia="仿宋" w:cs="仿宋"/>
          <w:color w:val="auto"/>
          <w:kern w:val="2"/>
          <w:sz w:val="32"/>
          <w:szCs w:val="32"/>
          <w:highlight w:val="none"/>
          <w:lang w:val="en-US" w:eastAsia="zh-CN" w:bidi="ar-SA"/>
        </w:rPr>
        <w:t xml:space="preserve">），烟碱类杀虫剂，具有触杀、胃毒作用，具有根内吸活性和层间传导性。土壤处理、叶面喷施和种子处理，防治水稻、玉米、油菜、果树和蔬菜、柑橘的刺吸式和咀嚼式害虫，如飞虱、椿象、蚜虫和烟粉虱。雌雄大鼠急性经口 </w:t>
      </w:r>
      <w:r>
        <w:rPr>
          <w:rFonts w:hint="default" w:ascii="仿宋" w:hAnsi="仿宋" w:eastAsia="仿宋" w:cs="仿宋"/>
          <w:color w:val="auto"/>
          <w:kern w:val="2"/>
          <w:sz w:val="32"/>
          <w:szCs w:val="32"/>
          <w:highlight w:val="none"/>
          <w:lang w:val="en-US" w:eastAsia="zh-CN" w:bidi="ar-SA"/>
        </w:rPr>
        <w:t>LD50&gt; 5000mg/kg</w:t>
      </w:r>
      <w:r>
        <w:rPr>
          <w:rFonts w:hint="eastAsia" w:ascii="仿宋" w:hAnsi="仿宋" w:eastAsia="仿宋" w:cs="仿宋"/>
          <w:color w:val="auto"/>
          <w:kern w:val="2"/>
          <w:sz w:val="32"/>
          <w:szCs w:val="32"/>
          <w:highlight w:val="none"/>
          <w:lang w:val="en-US" w:eastAsia="zh-CN" w:bidi="ar-SA"/>
        </w:rPr>
        <w:t>，急性毒性分级为微毒。急性中毒可出现恶心、呕吐、头痛、乏力、躁动、抽搐等。食用食品一般不会导致噻虫胺的急性中毒，但长期食用噻虫胺超标的食品，对人体健康也有一定影响。</w:t>
      </w:r>
    </w:p>
    <w:p>
      <w:pPr>
        <w:spacing w:line="594" w:lineRule="exact"/>
        <w:ind w:firstLine="640" w:firstLineChars="20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GB 2763-2021《食品安全国家标准 食品中农药最大残留限量》中规定，噻虫胺在豆类蔬菜的最大残留限量为0.01mg/kg。噻虫胺残留超标的原因可能是农产品种植者为加强防虫效果超量使用农药，也可能是种植户未严格按照农药安全间隔期，提前采收农作物。</w:t>
      </w:r>
    </w:p>
    <w:p>
      <w:pPr>
        <w:pStyle w:val="2"/>
        <w:rPr>
          <w:rFonts w:hint="eastAsia"/>
          <w:lang w:val="en-US" w:eastAsia="zh-CN"/>
        </w:rPr>
      </w:pPr>
    </w:p>
    <w:p>
      <w:pPr>
        <w:pStyle w:val="2"/>
        <w:numPr>
          <w:ilvl w:val="0"/>
          <w:numId w:val="0"/>
        </w:numPr>
        <w:ind w:firstLine="596" w:firstLineChars="200"/>
        <w:rPr>
          <w:rFonts w:hint="default" w:ascii="仿宋" w:hAnsi="仿宋" w:cs="仿宋"/>
          <w:color w:val="auto"/>
          <w:spacing w:val="-11"/>
          <w:kern w:val="2"/>
          <w:sz w:val="32"/>
          <w:szCs w:val="32"/>
          <w:lang w:val="en-US" w:eastAsia="zh-CN" w:bidi="ar-SA"/>
        </w:rPr>
      </w:pPr>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C23CF754-EC3F-489D-9A99-A9DE20B747DB}"/>
  </w:font>
  <w:font w:name="方正黑体_GBK">
    <w:panose1 w:val="03000509000000000000"/>
    <w:charset w:val="86"/>
    <w:family w:val="auto"/>
    <w:pitch w:val="default"/>
    <w:sig w:usb0="00000001" w:usb1="080E0000" w:usb2="00000000" w:usb3="00000000" w:csb0="00040000" w:csb1="00000000"/>
    <w:embedRegular r:id="rId2" w:fontKey="{F0D690AB-225E-4F6C-AD82-9AF2214428C7}"/>
  </w:font>
  <w:font w:name="方正小标宋_GBK">
    <w:panose1 w:val="03000509000000000000"/>
    <w:charset w:val="86"/>
    <w:family w:val="auto"/>
    <w:pitch w:val="default"/>
    <w:sig w:usb0="00000001" w:usb1="080E0000" w:usb2="00000000" w:usb3="00000000" w:csb0="00040000" w:csb1="00000000"/>
    <w:embedRegular r:id="rId3" w:fontKey="{F12A273F-2EFE-431E-AD54-B5F1FD2B81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852B72"/>
    <w:multiLevelType w:val="singleLevel"/>
    <w:tmpl w:val="1F852B7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wMjY5OTg1ZmZmMWJhMmFkY2UyNDIzMGYwMzkwNjY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86FEC"/>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E57613"/>
    <w:rsid w:val="077F1302"/>
    <w:rsid w:val="08A718AC"/>
    <w:rsid w:val="0AAD14F9"/>
    <w:rsid w:val="0B105ABE"/>
    <w:rsid w:val="0BAF665A"/>
    <w:rsid w:val="0EFB1BB6"/>
    <w:rsid w:val="0FED6590"/>
    <w:rsid w:val="10022AD1"/>
    <w:rsid w:val="11AA7966"/>
    <w:rsid w:val="11C52008"/>
    <w:rsid w:val="141679B1"/>
    <w:rsid w:val="159E2C66"/>
    <w:rsid w:val="15B85137"/>
    <w:rsid w:val="16041BA6"/>
    <w:rsid w:val="17375756"/>
    <w:rsid w:val="187854F2"/>
    <w:rsid w:val="18BD66DB"/>
    <w:rsid w:val="18E40145"/>
    <w:rsid w:val="1D2A530E"/>
    <w:rsid w:val="1E39526E"/>
    <w:rsid w:val="1F0653D6"/>
    <w:rsid w:val="1F282554"/>
    <w:rsid w:val="1F5C55DC"/>
    <w:rsid w:val="1FA83868"/>
    <w:rsid w:val="1FE30A9E"/>
    <w:rsid w:val="22A46395"/>
    <w:rsid w:val="23496F3C"/>
    <w:rsid w:val="24CA5E5B"/>
    <w:rsid w:val="24EF7670"/>
    <w:rsid w:val="2BDB0938"/>
    <w:rsid w:val="2C550700"/>
    <w:rsid w:val="2C9024A3"/>
    <w:rsid w:val="2DE7759F"/>
    <w:rsid w:val="2F1403FE"/>
    <w:rsid w:val="322A6769"/>
    <w:rsid w:val="33067B3D"/>
    <w:rsid w:val="33764379"/>
    <w:rsid w:val="33D04B10"/>
    <w:rsid w:val="34040D62"/>
    <w:rsid w:val="361B61C7"/>
    <w:rsid w:val="36C50230"/>
    <w:rsid w:val="37F24930"/>
    <w:rsid w:val="3A512225"/>
    <w:rsid w:val="3B797920"/>
    <w:rsid w:val="3ECA4CD4"/>
    <w:rsid w:val="40475A64"/>
    <w:rsid w:val="42CD2946"/>
    <w:rsid w:val="44586DC0"/>
    <w:rsid w:val="45C97345"/>
    <w:rsid w:val="479E0D55"/>
    <w:rsid w:val="48271394"/>
    <w:rsid w:val="48805DD2"/>
    <w:rsid w:val="49115557"/>
    <w:rsid w:val="49C57CC7"/>
    <w:rsid w:val="4AFE195C"/>
    <w:rsid w:val="4B304B48"/>
    <w:rsid w:val="4B5562A0"/>
    <w:rsid w:val="4BB9615E"/>
    <w:rsid w:val="4BC323F1"/>
    <w:rsid w:val="4C9B5A25"/>
    <w:rsid w:val="4CB16E35"/>
    <w:rsid w:val="4D2F6550"/>
    <w:rsid w:val="4DD907B0"/>
    <w:rsid w:val="4EE57FD2"/>
    <w:rsid w:val="4F764366"/>
    <w:rsid w:val="510D7238"/>
    <w:rsid w:val="518508DD"/>
    <w:rsid w:val="52732B71"/>
    <w:rsid w:val="532E3A5B"/>
    <w:rsid w:val="54703A7A"/>
    <w:rsid w:val="56EA7B13"/>
    <w:rsid w:val="5959236C"/>
    <w:rsid w:val="5B0203A0"/>
    <w:rsid w:val="60FD15F7"/>
    <w:rsid w:val="614D13CA"/>
    <w:rsid w:val="6189617B"/>
    <w:rsid w:val="62C531E2"/>
    <w:rsid w:val="634E6D48"/>
    <w:rsid w:val="63A75247"/>
    <w:rsid w:val="63E1229E"/>
    <w:rsid w:val="654C187B"/>
    <w:rsid w:val="6655487D"/>
    <w:rsid w:val="69F30FFB"/>
    <w:rsid w:val="6A00000E"/>
    <w:rsid w:val="6A7A5576"/>
    <w:rsid w:val="6CDE6EEF"/>
    <w:rsid w:val="6D535020"/>
    <w:rsid w:val="6D631F76"/>
    <w:rsid w:val="6E0005AE"/>
    <w:rsid w:val="6E590204"/>
    <w:rsid w:val="6ED3511D"/>
    <w:rsid w:val="6FB849AC"/>
    <w:rsid w:val="704C0594"/>
    <w:rsid w:val="70DE175C"/>
    <w:rsid w:val="70E4517B"/>
    <w:rsid w:val="74A44FDB"/>
    <w:rsid w:val="75856B41"/>
    <w:rsid w:val="78C017D5"/>
    <w:rsid w:val="7BFC5A6F"/>
    <w:rsid w:val="7C896BD7"/>
    <w:rsid w:val="7CCD4AFB"/>
    <w:rsid w:val="7CE7560E"/>
    <w:rsid w:val="7D2012E9"/>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1"/>
    <w:qFormat/>
    <w:uiPriority w:val="0"/>
    <w:rPr>
      <w:b/>
      <w:bCs/>
    </w:rPr>
  </w:style>
  <w:style w:type="character" w:styleId="13">
    <w:name w:val="annotation reference"/>
    <w:basedOn w:val="12"/>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2"/>
    <w:link w:val="5"/>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2"/>
    <w:link w:val="7"/>
    <w:qFormat/>
    <w:uiPriority w:val="0"/>
    <w:rPr>
      <w:rFonts w:ascii="Calibri" w:hAnsi="Calibri" w:eastAsia="宋体" w:cs="Times New Roman"/>
      <w:kern w:val="2"/>
      <w:sz w:val="18"/>
      <w:szCs w:val="18"/>
    </w:rPr>
  </w:style>
  <w:style w:type="character" w:customStyle="1" w:styleId="18">
    <w:name w:val="页脚 字符"/>
    <w:basedOn w:val="12"/>
    <w:link w:val="6"/>
    <w:qFormat/>
    <w:uiPriority w:val="99"/>
    <w:rPr>
      <w:rFonts w:ascii="Calibri" w:hAnsi="Calibri" w:eastAsia="宋体" w:cs="Times New Roman"/>
      <w:kern w:val="2"/>
      <w:sz w:val="18"/>
      <w:szCs w:val="18"/>
    </w:rPr>
  </w:style>
  <w:style w:type="character" w:customStyle="1" w:styleId="19">
    <w:name w:val="副标题 字符"/>
    <w:basedOn w:val="12"/>
    <w:link w:val="8"/>
    <w:qFormat/>
    <w:uiPriority w:val="0"/>
    <w:rPr>
      <w:rFonts w:ascii="Times New Roman" w:hAnsi="Times New Roman" w:eastAsia="黑体"/>
      <w:bCs/>
      <w:kern w:val="28"/>
      <w:sz w:val="32"/>
      <w:szCs w:val="32"/>
    </w:rPr>
  </w:style>
  <w:style w:type="character" w:customStyle="1" w:styleId="20">
    <w:name w:val="批注文字 字符"/>
    <w:basedOn w:val="12"/>
    <w:link w:val="4"/>
    <w:qFormat/>
    <w:uiPriority w:val="0"/>
    <w:rPr>
      <w:rFonts w:ascii="Calibri" w:hAnsi="Calibri" w:eastAsia="宋体" w:cs="Times New Roman"/>
      <w:kern w:val="2"/>
      <w:sz w:val="21"/>
      <w:szCs w:val="24"/>
    </w:rPr>
  </w:style>
  <w:style w:type="character" w:customStyle="1" w:styleId="21">
    <w:name w:val="批注主题 字符"/>
    <w:basedOn w:val="20"/>
    <w:link w:val="10"/>
    <w:qFormat/>
    <w:uiPriority w:val="0"/>
    <w:rPr>
      <w:rFonts w:ascii="Calibri" w:hAnsi="Calibri" w:eastAsia="宋体" w:cs="Times New Roman"/>
      <w:b/>
      <w:bCs/>
      <w:kern w:val="2"/>
      <w:sz w:val="21"/>
      <w:szCs w:val="24"/>
    </w:rPr>
  </w:style>
  <w:style w:type="paragraph" w:customStyle="1" w:styleId="22">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290</Words>
  <Characters>291</Characters>
  <Lines>16</Lines>
  <Paragraphs>4</Paragraphs>
  <TotalTime>7</TotalTime>
  <ScaleCrop>false</ScaleCrop>
  <LinksUpToDate>false</LinksUpToDate>
  <CharactersWithSpaces>291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阿瑾呀</cp:lastModifiedBy>
  <cp:lastPrinted>2023-11-08T01:21:00Z</cp:lastPrinted>
  <dcterms:modified xsi:type="dcterms:W3CDTF">2023-11-09T08:13:28Z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BFD02D606F7B421BA16D13BA0ED4F7A7</vt:lpwstr>
  </property>
</Properties>
</file>