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附件2</w:t>
      </w:r>
    </w:p>
    <w:tbl>
      <w:tblPr>
        <w:tblStyle w:val="2"/>
        <w:tblW w:w="1589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677"/>
        <w:gridCol w:w="3013"/>
        <w:gridCol w:w="2274"/>
        <w:gridCol w:w="3260"/>
        <w:gridCol w:w="38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58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0"/>
                <w:szCs w:val="40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sz w:val="40"/>
                <w:szCs w:val="40"/>
                <w:lang w:bidi="ar"/>
              </w:rPr>
              <w:t>富源县存量住宅用地信息汇总表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58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填报日期：202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 xml:space="preserve">日  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 xml:space="preserve">              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单位：公顷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县（市、区）</w:t>
            </w:r>
          </w:p>
        </w:tc>
        <w:tc>
          <w:tcPr>
            <w:tcW w:w="1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项目总数</w:t>
            </w:r>
          </w:p>
        </w:tc>
        <w:tc>
          <w:tcPr>
            <w:tcW w:w="3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存量住宅用地总面积</w:t>
            </w:r>
          </w:p>
        </w:tc>
        <w:tc>
          <w:tcPr>
            <w:tcW w:w="93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3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未动工土地面积</w:t>
            </w:r>
          </w:p>
        </w:tc>
        <w:tc>
          <w:tcPr>
            <w:tcW w:w="3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已动工未竣工土地面积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3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未销售房屋的土地面积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（1）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（2）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（3）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（4）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（5）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（6）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富源县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27.346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27.346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bidi="ar"/>
              </w:rPr>
              <w:t>10.7305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</w:tbl>
    <w:p>
      <w:pPr>
        <w:jc w:val="left"/>
        <w:rPr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11FA4"/>
    <w:rsid w:val="7C71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曲靖市富源县党政机关单位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2023-10-10T01:18:00Z</dcterms:created>
  <dc:creator>阿瑾呀</dc:creator>
  <cp:lastModifiedBy>阿瑾呀</cp:lastModifiedBy>
  <dcterms:modified xsi:type="dcterms:W3CDTF">2023-10-10T01:18:59Z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8C2FAD92BEA54117A5FD58050B0E32D6</vt:lpwstr>
  </property>
</Properties>
</file>