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116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富源县人民政府关于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同意实施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2022—2023学年度雨露计划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县乡村振兴局：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《富源县乡村振兴局关于实施</w:t>
      </w:r>
      <w:r>
        <w:rPr>
          <w:rFonts w:hint="eastAsia"/>
          <w:lang w:val="en-US" w:eastAsia="zh-CN"/>
        </w:rPr>
        <w:t>2022—2023学年度雨露计划的请示</w:t>
      </w:r>
      <w:r>
        <w:rPr>
          <w:rFonts w:hint="eastAsia"/>
          <w:lang w:eastAsia="zh-CN"/>
        </w:rPr>
        <w:t>》（富乡振请〔202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一、原则同意继续实施</w:t>
      </w:r>
      <w:r>
        <w:rPr>
          <w:rFonts w:hint="eastAsia"/>
          <w:lang w:val="en-US" w:eastAsia="zh-CN"/>
        </w:rPr>
        <w:t>2022—2023学年度雨露计划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4" w:firstLineChars="200"/>
        <w:jc w:val="both"/>
        <w:textAlignment w:val="auto"/>
      </w:pPr>
      <w:r>
        <w:rPr>
          <w:rFonts w:hint="eastAsia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2"/>
          <w:lang w:val="en-US" w:eastAsia="zh-CN" w:bidi="ar"/>
        </w:rPr>
        <w:t>县教育体育局、县乡村振兴局、县财政局要加强雨露计划</w:t>
      </w:r>
      <w:r>
        <w:rPr>
          <w:rFonts w:hint="eastAsia" w:ascii="方正仿宋_GBK" w:hAnsi="方正仿宋_GBK" w:eastAsia="方正仿宋_GBK" w:cs="方正仿宋_GBK"/>
          <w:spacing w:val="-6"/>
          <w:kern w:val="2"/>
          <w:sz w:val="32"/>
          <w:szCs w:val="22"/>
          <w:lang w:val="en-US" w:eastAsia="zh-CN" w:bidi="ar"/>
        </w:rPr>
        <w:t>补助对象审核把关，强化资金监管，确保项目资金发挥最大效益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/>
        <w:jc w:val="right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2023年7月24日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624" w:firstLineChars="2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B627C"/>
    <w:rsid w:val="1AAD0EF5"/>
    <w:rsid w:val="200866A8"/>
    <w:rsid w:val="224471CA"/>
    <w:rsid w:val="49CB627C"/>
    <w:rsid w:val="4C2B21CA"/>
    <w:rsid w:val="56CB5D93"/>
    <w:rsid w:val="6D414558"/>
    <w:rsid w:val="771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2023-07-21T06:35:00Z</dcterms:created>
  <dc:creator>富源县人民政府办公室文印室</dc:creator>
  <cp:lastModifiedBy>阿瑾呀</cp:lastModifiedBy>
  <dcterms:modified xsi:type="dcterms:W3CDTF">2023-08-10T03:30:21Z</dcterms:modified>
  <dc:title>富政复〔2023〕116号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E30B54B3553E45B88EF21A36B45658E1</vt:lpwstr>
  </property>
</Properties>
</file>