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>登记编号：曲府登140号</w:t>
      </w:r>
    </w:p>
    <w:p>
      <w:pPr>
        <w:widowControl w:val="0"/>
        <w:spacing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富源县人民政府关于废止2010年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4月30日前制定的部分规范性文件的决定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仿宋_GB2312" w:cs="Times New Roman"/>
          <w:kern w:val="2"/>
          <w:sz w:val="32"/>
          <w:szCs w:val="48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48"/>
        </w:rPr>
        <w:t>第29号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仿宋_GB2312" w:cs="Times New Roman"/>
          <w:kern w:val="2"/>
          <w:sz w:val="32"/>
          <w:szCs w:val="48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44"/>
        </w:rPr>
        <w:t>《富源县人民政府关于废止2010年4月30日前制定的部分规范性文件的决定》已经2012年5月7日富源县人民政府第32次常务会议通过，现予公布，自公布之日起施行。</w:t>
      </w:r>
    </w:p>
    <w:p>
      <w:pPr>
        <w:widowControl w:val="0"/>
        <w:spacing w:line="600" w:lineRule="exact"/>
        <w:ind w:firstLine="630"/>
        <w:jc w:val="both"/>
        <w:rPr>
          <w:rFonts w:hint="default" w:ascii="Times New Roman" w:hAnsi="Times New Roman" w:eastAsia="仿宋_GB2312" w:cs="Times New Roman"/>
          <w:kern w:val="2"/>
          <w:sz w:val="32"/>
          <w:szCs w:val="44"/>
        </w:rPr>
      </w:pPr>
    </w:p>
    <w:p>
      <w:pPr>
        <w:widowControl w:val="0"/>
        <w:spacing w:line="600" w:lineRule="exact"/>
        <w:ind w:firstLine="630"/>
        <w:jc w:val="both"/>
        <w:rPr>
          <w:rFonts w:hint="default" w:ascii="Times New Roman" w:hAnsi="Times New Roman" w:eastAsia="仿宋_GB2312" w:cs="Times New Roman"/>
          <w:kern w:val="2"/>
          <w:sz w:val="32"/>
          <w:szCs w:val="44"/>
        </w:rPr>
      </w:pPr>
    </w:p>
    <w:p>
      <w:pPr>
        <w:widowControl w:val="0"/>
        <w:spacing w:line="600" w:lineRule="exact"/>
        <w:ind w:firstLine="630"/>
        <w:jc w:val="both"/>
        <w:rPr>
          <w:rFonts w:hint="default" w:ascii="Times New Roman" w:hAnsi="Times New Roman" w:eastAsia="仿宋_GB2312" w:cs="Times New Roman"/>
          <w:kern w:val="2"/>
          <w:sz w:val="32"/>
          <w:szCs w:val="44"/>
        </w:rPr>
      </w:pPr>
    </w:p>
    <w:p>
      <w:pPr>
        <w:widowControl w:val="0"/>
        <w:spacing w:line="600" w:lineRule="exact"/>
        <w:ind w:firstLine="5120" w:firstLineChars="16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富源县人民政府</w:t>
      </w:r>
    </w:p>
    <w:p>
      <w:pPr>
        <w:widowControl w:val="0"/>
        <w:wordWrap w:val="0"/>
        <w:jc w:val="right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  <w:t xml:space="preserve">2012年5月17日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  <w:t>（此件公开发布）</w:t>
      </w:r>
    </w:p>
    <w:p>
      <w:pPr>
        <w:widowControl w:val="0"/>
        <w:wordWrap/>
        <w:jc w:val="right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</w:p>
    <w:p>
      <w:pPr>
        <w:widowControl w:val="0"/>
        <w:wordWrap/>
        <w:jc w:val="right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</w:p>
    <w:p>
      <w:pPr>
        <w:widowControl w:val="0"/>
        <w:wordWrap/>
        <w:jc w:val="right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</w:p>
    <w:p>
      <w:pPr>
        <w:widowControl w:val="0"/>
        <w:wordWrap/>
        <w:jc w:val="right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富源县人民政府关于废止2010年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4月30日前制定的部分规范性文件的决定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按照《曲靖市人民政府办公室关于开展规范性文件清理工作的通知》（曲府办明电〔2011〕55号）要求，县人民政府组织对2010年4月30日前制定的规范性文件进行了全面清理。经清理，县人民政府决定，废止下列46件规范性文件。</w:t>
      </w: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628" w:firstLineChars="1008"/>
        <w:jc w:val="both"/>
        <w:rPr>
          <w:rFonts w:hint="default" w:ascii="Times New Roman" w:hAnsi="Times New Roman" w:eastAsia="仿宋_GB2312" w:cs="Times New Roman"/>
          <w:kern w:val="2"/>
          <w:sz w:val="36"/>
          <w:szCs w:val="36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600" w:lineRule="exact"/>
        <w:ind w:firstLine="3225" w:firstLineChars="1008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spacing w:line="52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</w:p>
    <w:p>
      <w:pPr>
        <w:widowControl w:val="0"/>
        <w:spacing w:line="52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富源县人民政府制定现废止的规范性文件目录</w:t>
      </w:r>
    </w:p>
    <w:tbl>
      <w:tblPr>
        <w:tblStyle w:val="7"/>
        <w:tblW w:w="91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510"/>
        <w:gridCol w:w="1677"/>
        <w:gridCol w:w="12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序号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文    件    名    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文  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发文日期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关于实施《富源县国有企业股份合作制试行办法》的通知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〔1995〕34号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1995.06.30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关于颁布实施《富源县农村社会养老保险暂行办法》的通知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〔1995〕45号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1995.09.19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关于颁行《富源县劳动用工管理暂行办法》的通知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〔1995〕59号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1995.11.20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富源县建立住房公积金实施办法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〔1997〕16号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1997.07.01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关于印发施行《水资源费征收管理暂行办法》的通知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〔1997〕32号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1997.10.14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关于建立城镇居民最低生活保障制度的通知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〔1998〕58号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1998.08.06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关于对超生转养孩子进行亲子女鉴定的决定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〔1999〕5号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1999.02.11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关于印发《富源县县级国家机关事业单位政府采购制度暂行规定》的通知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〔1999〕30号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1999.05.25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关于切实加强地方零散税收征收管理的通知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〔1999〕35号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1999.06.18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关于民用爆炸物品安全管理规定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〔1999〕48号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1999.09.01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关于印发《富源县政府采购实施细则（试行）》的通知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〔1999〕83号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1999.07.14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关于印发《富源县计划外生育费管理暂行办法》的通知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〔1999〕85号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1999.07.27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关于加强煤炭焦化改造建设管理的规定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〔2000〕16号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2000.04.05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关于印发《富源县项目前期工作经费管理暂行办法》的通知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〔2000〕37号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2000.01.30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15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关于滇东电厂建设有关优惠政策的决定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〔2000〕42号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2000.10.16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16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关于进一步推进县属商贸企业产权制度改革有关问题的通知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〔2001〕31号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2001.08.27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17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关于颁行《富源县义务兵家属优待金社会统筹提留实施办法》的通知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〔2001〕38号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2001.10.23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18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关于印发《富源县县级行政事业单位银行账户管理办法》的通知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〔2001〕86号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2001.08.28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19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关于改革行政审批制度的决定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〔2002〕2号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2002.04.30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批转县教育局、发展计划局、财政局关于《富源县农村贫困地区义务教育阶段收费“一费制”试行意见》的通知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〔2002〕31号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2002.12.12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21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批转《富源县农村信用社关于推广农户小额信用贷款建立信用村（镇）工作实施方案》的通知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〔2002〕41号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2002.05.29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22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关于印发《富源县科学技术奖励办法》的通知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〔2003〕14号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2003.05.07</w:t>
            </w:r>
          </w:p>
        </w:tc>
      </w:tr>
    </w:tbl>
    <w:p>
      <w:pPr>
        <w:widowControl w:val="0"/>
        <w:spacing w:line="520" w:lineRule="exact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</w:p>
    <w:p>
      <w:pPr>
        <w:widowControl w:val="0"/>
        <w:spacing w:line="52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44"/>
        </w:rPr>
        <w:t>富源县人民政府制定现废止的规范性文件目录</w:t>
      </w:r>
    </w:p>
    <w:tbl>
      <w:tblPr>
        <w:tblStyle w:val="7"/>
        <w:tblW w:w="90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517"/>
        <w:gridCol w:w="3"/>
        <w:gridCol w:w="1675"/>
        <w:gridCol w:w="12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序号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文    件    名    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文  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发文日期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23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关于印发《富源县财源建设资金管理实施办法》的通知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〔2003〕43号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2003.05.08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24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 w:val="0"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关于开展毒鼠强专项治理工作的通知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〔2003〕113号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2003.09.11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25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关于建立土地储备制度的通知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富政发〔2003〕34号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2003.09.27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26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关于鼓励外来投资的优惠政策规定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〔2004〕32号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2004.05.19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27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关于印发《富源县村级兽医员聘用办法》的通知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〔2004〕24号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2004.03.03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28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关于印发《富源县结核病防治规划（2003—2010年）》的通知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〔2004〕33号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2004.03.04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29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关于印发《富源县畜禽及其产品检疫管理办法》的通知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〔2004〕56号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2004.04.09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30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关于印发《富源县捐资助学实施细则》的通知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〔2004〕75号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2004.05.19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31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关于建立和实行建筑行业农民工工资保障金制度的通知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〔2004〕78号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2004.05.18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32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关于严格执行《富源县矿产资源规划》的通知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〔2004〕182号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2004.12.02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33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关于对法凹至黄泥河公路收取车辆通行费的通告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富政告〔2004〕7号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2004.09.28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34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富源县法黄高等级公路车辆通行费征收管理办法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富源县政府公告第5号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2005.07.27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35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富源县城市管理暂行办法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富源县人民政府公告第6号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2005.12.28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36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关于规范富源县城营运电动三轮摩托车行驶路线的通告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富源县人民政府公告第7号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2005.12.28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37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富源县建设工程招标投标管理的补充规定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富源县人民政府公告第9号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2007.01.26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38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关于煤焦价格调节基金征收管理有关问题的通知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〔2005〕144号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2005.09.30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39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富源县人民政府关于富源铁路煤焦货场搬迁的公告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富政告字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〔2006〕5号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2006.11.15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40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关于印发《富源县农民工工伤保险费征缴暂行办法》的通知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富政办发〔2007〕108号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2007.06.07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41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关于印发《富源县调整福利企业增值税税收优惠政策实施方案》的通知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〔2007〕124号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2007.07.12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42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关于落实煤炭行业安全生产两个主体责任的意见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富政发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〔2007〕51号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2007.11.15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43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关于印发富源县城乡贫困居民医疗救助实施办法的通知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富政办发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〔2008〕219号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2008.11.03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44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关于进一步规范法黄二级公路收费秩序的通告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富政告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〔2009〕2号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2009.05.03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45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关于2009年烟叶收购专卖管理的通告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富政告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〔2009〕4号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2009.08.01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46</w:t>
            </w:r>
          </w:p>
        </w:tc>
        <w:tc>
          <w:tcPr>
            <w:tcW w:w="5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关于开展县城区地籍调查既土地使用证检审的通告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富政告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〔2009〕3号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2009.08.03</w:t>
            </w:r>
          </w:p>
        </w:tc>
      </w:tr>
    </w:tbl>
    <w:p>
      <w:pPr>
        <w:widowControl w:val="0"/>
        <w:spacing w:line="2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富源县人民政府发布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0DW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富源县人民政府行政规范性文件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52D2952"/>
    <w:rsid w:val="06A67E67"/>
    <w:rsid w:val="080F63D8"/>
    <w:rsid w:val="09341458"/>
    <w:rsid w:val="0C360E94"/>
    <w:rsid w:val="0E834745"/>
    <w:rsid w:val="14315C5F"/>
    <w:rsid w:val="152D2DCA"/>
    <w:rsid w:val="173073DC"/>
    <w:rsid w:val="188F1247"/>
    <w:rsid w:val="1AC30E1D"/>
    <w:rsid w:val="22440422"/>
    <w:rsid w:val="245D0A8D"/>
    <w:rsid w:val="269E1109"/>
    <w:rsid w:val="2A4D2F57"/>
    <w:rsid w:val="31A15F24"/>
    <w:rsid w:val="37DB36D8"/>
    <w:rsid w:val="392B7E5B"/>
    <w:rsid w:val="39A232A0"/>
    <w:rsid w:val="3B5A6BBB"/>
    <w:rsid w:val="3CDC3508"/>
    <w:rsid w:val="3E58092B"/>
    <w:rsid w:val="3EDA13A6"/>
    <w:rsid w:val="41583876"/>
    <w:rsid w:val="418F6F12"/>
    <w:rsid w:val="42F058B7"/>
    <w:rsid w:val="436109F6"/>
    <w:rsid w:val="43E2666C"/>
    <w:rsid w:val="441A38D4"/>
    <w:rsid w:val="4695723A"/>
    <w:rsid w:val="47880693"/>
    <w:rsid w:val="49C050BB"/>
    <w:rsid w:val="4B1575F7"/>
    <w:rsid w:val="4B6658E2"/>
    <w:rsid w:val="4BC77339"/>
    <w:rsid w:val="4C9236C5"/>
    <w:rsid w:val="4D492532"/>
    <w:rsid w:val="4F5C2681"/>
    <w:rsid w:val="52F46F0B"/>
    <w:rsid w:val="54213B2B"/>
    <w:rsid w:val="5482143F"/>
    <w:rsid w:val="55E064E0"/>
    <w:rsid w:val="58A94BDB"/>
    <w:rsid w:val="58C72E4D"/>
    <w:rsid w:val="59B26FA4"/>
    <w:rsid w:val="5ACA0078"/>
    <w:rsid w:val="5B940D21"/>
    <w:rsid w:val="5FE73B44"/>
    <w:rsid w:val="608816D1"/>
    <w:rsid w:val="61A92C1B"/>
    <w:rsid w:val="63530C96"/>
    <w:rsid w:val="63FD14EC"/>
    <w:rsid w:val="6D0E3F22"/>
    <w:rsid w:val="7C0D6DF1"/>
    <w:rsid w:val="7C9011D9"/>
    <w:rsid w:val="7DC6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12" w:beforeLines="100" w:after="312" w:afterLines="100" w:line="600" w:lineRule="exact"/>
      <w:jc w:val="center"/>
      <w:outlineLvl w:val="1"/>
    </w:pPr>
    <w:rPr>
      <w:rFonts w:ascii="黑体" w:hAnsi="Arial" w:eastAsia="黑体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15.5楷体（标题下楷体）"/>
    <w:basedOn w:val="1"/>
    <w:qFormat/>
    <w:uiPriority w:val="0"/>
    <w:pPr>
      <w:widowControl/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kern w:val="0"/>
      <w:sz w:val="31"/>
      <w:szCs w:val="31"/>
    </w:rPr>
  </w:style>
  <w:style w:type="paragraph" w:customStyle="1" w:styleId="12">
    <w:name w:val="一级标题（二号小标宋）"/>
    <w:basedOn w:val="1"/>
    <w:qFormat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  <w:style w:type="paragraph" w:customStyle="1" w:styleId="13">
    <w:name w:val="15.5正文（仿宋GB）"/>
    <w:basedOn w:val="1"/>
    <w:qFormat/>
    <w:uiPriority w:val="0"/>
    <w:pPr>
      <w:widowControl/>
      <w:ind w:firstLine="200" w:firstLineChars="200"/>
      <w:jc w:val="left"/>
    </w:pPr>
    <w:rPr>
      <w:rFonts w:ascii="方正书宋简体" w:hAnsi="方正书宋简体" w:eastAsia="仿宋_GB2312"/>
      <w:color w:val="000000"/>
      <w:kern w:val="0"/>
      <w:sz w:val="31"/>
      <w:szCs w:val="31"/>
    </w:rPr>
  </w:style>
  <w:style w:type="paragraph" w:customStyle="1" w:styleId="14">
    <w:name w:val="15.5正文（黑体） 章节"/>
    <w:basedOn w:val="1"/>
    <w:qFormat/>
    <w:uiPriority w:val="0"/>
    <w:pPr>
      <w:jc w:val="center"/>
    </w:pPr>
    <w:rPr>
      <w:rFonts w:ascii="方正书宋简体" w:hAnsi="方正书宋简体" w:eastAsia="黑体"/>
      <w:color w:val="000000"/>
      <w:sz w:val="31"/>
      <w:szCs w:val="31"/>
    </w:rPr>
  </w:style>
  <w:style w:type="paragraph" w:customStyle="1" w:styleId="15">
    <w:name w:val="样式 样式3 + 段前: 1 行 段后: 1.5 行"/>
    <w:basedOn w:val="16"/>
    <w:qFormat/>
    <w:uiPriority w:val="0"/>
    <w:pPr>
      <w:spacing w:after="100" w:afterLines="100"/>
    </w:pPr>
    <w:rPr>
      <w:rFonts w:cs="宋体"/>
      <w:szCs w:val="20"/>
    </w:rPr>
  </w:style>
  <w:style w:type="paragraph" w:customStyle="1" w:styleId="16">
    <w:name w:val="样式3"/>
    <w:basedOn w:val="1"/>
    <w:qFormat/>
    <w:uiPriority w:val="0"/>
    <w:pPr>
      <w:widowControl w:val="0"/>
      <w:adjustRightInd w:val="0"/>
      <w:snapToGrid w:val="0"/>
      <w:spacing w:before="100" w:beforeLines="100" w:after="150" w:afterLines="150" w:line="600" w:lineRule="exact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1883</Words>
  <Characters>1956</Characters>
  <Lines>0</Lines>
  <Paragraphs>0</Paragraphs>
  <TotalTime>1</TotalTime>
  <ScaleCrop>false</ScaleCrop>
  <LinksUpToDate>false</LinksUpToDate>
  <CharactersWithSpaces>1960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2021-09-22T01:19:00Z</cp:lastPrinted>
  <dcterms:modified xsi:type="dcterms:W3CDTF">2023-12-18T13:13:59Z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6D181FBA67F54A948CD50CC231C8F67B</vt:lpwstr>
  </property>
</Properties>
</file>